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13D96" w14:textId="77777777" w:rsidR="003C4A8A" w:rsidRDefault="003C4A8A" w:rsidP="003C4A8A">
      <w:pPr>
        <w:pStyle w:val="berschrift6"/>
      </w:pPr>
      <w:bookmarkStart w:id="0" w:name="_Toc263008826"/>
      <w:bookmarkStart w:id="1" w:name="_Toc263261819"/>
      <w:bookmarkStart w:id="2" w:name="_Toc282759148"/>
      <w:bookmarkStart w:id="3" w:name="_Toc282785749"/>
      <w:r>
        <w:t>Lachen</w:t>
      </w:r>
      <w:bookmarkEnd w:id="0"/>
      <w:bookmarkEnd w:id="1"/>
      <w:bookmarkEnd w:id="2"/>
      <w:bookmarkEnd w:id="3"/>
    </w:p>
    <w:p w14:paraId="45A4711E" w14:textId="77777777" w:rsidR="003C4A8A" w:rsidRPr="002418D1" w:rsidRDefault="003C4A8A" w:rsidP="003C4A8A">
      <w:r>
        <w:t xml:space="preserve">Seit dem Roman „Der Name der Rose“ von Umberto Eco glaubt alle Welt zu wissen, dass man im Mittelalter nicht lachen sollte. Das ist falsch und steht so auch nicht in Ecos Buch. Es wird </w:t>
      </w:r>
      <w:proofErr w:type="gramStart"/>
      <w:r>
        <w:t>ja auch</w:t>
      </w:r>
      <w:proofErr w:type="gramEnd"/>
      <w:r>
        <w:t xml:space="preserve"> niemand meinen, die Welt müsse verstummen, wenn man sich an die Sprüche hielte: „Über jedes unnütze Wort, das die Menschen reden, werden sie am Tag des Gerichts Rechenschaft ablegen müssen“ (Mt 12, 36) oder „Ihre Zähne sind Spieße und Pfeile, ein scharfes Schwert ihre Zunge“ (</w:t>
      </w:r>
      <w:proofErr w:type="spellStart"/>
      <w:r>
        <w:t>Ps</w:t>
      </w:r>
      <w:proofErr w:type="spellEnd"/>
      <w:r>
        <w:t xml:space="preserve"> 56, 5)</w:t>
      </w:r>
      <w:r>
        <w:rPr>
          <w:rStyle w:val="Funotenzeichen"/>
        </w:rPr>
        <w:footnoteReference w:id="1"/>
      </w:r>
      <w:r>
        <w:t>. Ähnliche Urteile gibt es über das Lachen, wobei meist ein bestimmtes, verächtliches oder blödes Getue gemeint ist</w:t>
      </w:r>
      <w:r>
        <w:rPr>
          <w:rStyle w:val="Funotenzeichen"/>
        </w:rPr>
        <w:footnoteReference w:id="2"/>
      </w:r>
      <w:r>
        <w:t xml:space="preserve">, </w:t>
      </w:r>
      <w:proofErr w:type="spellStart"/>
      <w:r>
        <w:rPr>
          <w:i/>
        </w:rPr>
        <w:t>risus</w:t>
      </w:r>
      <w:proofErr w:type="spellEnd"/>
      <w:r>
        <w:rPr>
          <w:i/>
        </w:rPr>
        <w:t xml:space="preserve"> </w:t>
      </w:r>
      <w:proofErr w:type="spellStart"/>
      <w:r>
        <w:rPr>
          <w:i/>
        </w:rPr>
        <w:t>immoderatus</w:t>
      </w:r>
      <w:proofErr w:type="spellEnd"/>
      <w:r>
        <w:rPr>
          <w:rStyle w:val="Funotenzeichen"/>
        </w:rPr>
        <w:footnoteReference w:id="3"/>
      </w:r>
      <w:r>
        <w:rPr>
          <w:i/>
        </w:rPr>
        <w:t>.</w:t>
      </w:r>
      <w:r>
        <w:t xml:space="preserve"> Ein Lachen, </w:t>
      </w:r>
      <w:proofErr w:type="spellStart"/>
      <w:r>
        <w:rPr>
          <w:i/>
        </w:rPr>
        <w:t>risus</w:t>
      </w:r>
      <w:proofErr w:type="spellEnd"/>
      <w:r>
        <w:rPr>
          <w:i/>
        </w:rPr>
        <w:t xml:space="preserve"> </w:t>
      </w:r>
      <w:proofErr w:type="spellStart"/>
      <w:r>
        <w:rPr>
          <w:i/>
        </w:rPr>
        <w:t>nostre</w:t>
      </w:r>
      <w:proofErr w:type="spellEnd"/>
      <w:r>
        <w:rPr>
          <w:i/>
        </w:rPr>
        <w:t xml:space="preserve"> </w:t>
      </w:r>
      <w:proofErr w:type="spellStart"/>
      <w:r>
        <w:rPr>
          <w:i/>
        </w:rPr>
        <w:t>proscribens</w:t>
      </w:r>
      <w:proofErr w:type="spellEnd"/>
      <w:r>
        <w:rPr>
          <w:i/>
        </w:rPr>
        <w:t xml:space="preserve"> </w:t>
      </w:r>
      <w:proofErr w:type="spellStart"/>
      <w:r>
        <w:rPr>
          <w:i/>
        </w:rPr>
        <w:t>nubila</w:t>
      </w:r>
      <w:proofErr w:type="spellEnd"/>
      <w:r>
        <w:rPr>
          <w:i/>
        </w:rPr>
        <w:t xml:space="preserve"> </w:t>
      </w:r>
      <w:proofErr w:type="spellStart"/>
      <w:r>
        <w:rPr>
          <w:i/>
        </w:rPr>
        <w:t>mentis</w:t>
      </w:r>
      <w:proofErr w:type="spellEnd"/>
      <w:r>
        <w:t xml:space="preserve">, </w:t>
      </w:r>
      <w:proofErr w:type="gramStart"/>
      <w:r>
        <w:t>das</w:t>
      </w:r>
      <w:proofErr w:type="gramEnd"/>
      <w:r>
        <w:t xml:space="preserve"> die Wolken von unserem Geist vertreibt </w:t>
      </w:r>
      <w:r>
        <w:rPr>
          <w:rStyle w:val="Funotenzeichen"/>
        </w:rPr>
        <w:footnoteReference w:id="4"/>
      </w:r>
      <w:r>
        <w:t xml:space="preserve">, wird aber immer wieder verteidigt, schon von Smaragd († um 830) in seiner Regelauslegung, der meint, es sei nur natürlich, und von </w:t>
      </w:r>
      <w:proofErr w:type="spellStart"/>
      <w:r>
        <w:t>Hildemar</w:t>
      </w:r>
      <w:proofErr w:type="spellEnd"/>
      <w:r>
        <w:t xml:space="preserve">, der schlicht feststellt: </w:t>
      </w:r>
      <w:r>
        <w:rPr>
          <w:i/>
        </w:rPr>
        <w:t xml:space="preserve">Non </w:t>
      </w:r>
      <w:proofErr w:type="spellStart"/>
      <w:r>
        <w:rPr>
          <w:i/>
        </w:rPr>
        <w:t>dixit</w:t>
      </w:r>
      <w:proofErr w:type="spellEnd"/>
      <w:r>
        <w:rPr>
          <w:i/>
        </w:rPr>
        <w:t xml:space="preserve">, non </w:t>
      </w:r>
      <w:proofErr w:type="spellStart"/>
      <w:r>
        <w:rPr>
          <w:i/>
        </w:rPr>
        <w:t>ridere</w:t>
      </w:r>
      <w:proofErr w:type="spellEnd"/>
      <w:r>
        <w:rPr>
          <w:i/>
        </w:rPr>
        <w:t xml:space="preserve">, </w:t>
      </w:r>
      <w:proofErr w:type="spellStart"/>
      <w:r>
        <w:rPr>
          <w:i/>
        </w:rPr>
        <w:t>sed</w:t>
      </w:r>
      <w:proofErr w:type="spellEnd"/>
      <w:r>
        <w:rPr>
          <w:i/>
        </w:rPr>
        <w:t xml:space="preserve"> </w:t>
      </w:r>
      <w:proofErr w:type="spellStart"/>
      <w:r>
        <w:rPr>
          <w:i/>
        </w:rPr>
        <w:t>dixit</w:t>
      </w:r>
      <w:proofErr w:type="spellEnd"/>
      <w:r>
        <w:rPr>
          <w:i/>
        </w:rPr>
        <w:t xml:space="preserve">, </w:t>
      </w:r>
      <w:r>
        <w:t>[</w:t>
      </w:r>
      <w:proofErr w:type="spellStart"/>
      <w:r>
        <w:rPr>
          <w:i/>
        </w:rPr>
        <w:t>risum</w:t>
      </w:r>
      <w:proofErr w:type="spellEnd"/>
      <w:r>
        <w:t>]</w:t>
      </w:r>
      <w:r>
        <w:rPr>
          <w:i/>
        </w:rPr>
        <w:t xml:space="preserve"> non </w:t>
      </w:r>
      <w:proofErr w:type="spellStart"/>
      <w:r>
        <w:rPr>
          <w:i/>
        </w:rPr>
        <w:t>amare</w:t>
      </w:r>
      <w:proofErr w:type="spellEnd"/>
      <w:r>
        <w:t>, er sagte nicht, nicht lachen, sondern das Lachen nicht zu lieben, so wie es auch nicht heißt, nichts zu essen, sondern nicht zu viel und um seiner selbst willen</w:t>
      </w:r>
      <w:r>
        <w:rPr>
          <w:rStyle w:val="Funotenzeichen"/>
        </w:rPr>
        <w:footnoteReference w:id="5"/>
      </w:r>
      <w:r>
        <w:t xml:space="preserve">. Der Heilige </w:t>
      </w:r>
      <w:proofErr w:type="spellStart"/>
      <w:r>
        <w:t>Caesarius</w:t>
      </w:r>
      <w:proofErr w:type="spellEnd"/>
      <w:r>
        <w:t xml:space="preserve"> lächelt milde </w:t>
      </w:r>
      <w:r>
        <w:rPr>
          <w:i/>
        </w:rPr>
        <w:t xml:space="preserve">in </w:t>
      </w:r>
      <w:proofErr w:type="spellStart"/>
      <w:r w:rsidRPr="00E57E43">
        <w:rPr>
          <w:i/>
        </w:rPr>
        <w:t>risu</w:t>
      </w:r>
      <w:proofErr w:type="spellEnd"/>
      <w:r w:rsidRPr="00E57E43">
        <w:rPr>
          <w:i/>
        </w:rPr>
        <w:t xml:space="preserve"> </w:t>
      </w:r>
      <w:proofErr w:type="spellStart"/>
      <w:r w:rsidRPr="00E57E43">
        <w:rPr>
          <w:i/>
        </w:rPr>
        <w:t>iusto</w:t>
      </w:r>
      <w:proofErr w:type="spellEnd"/>
      <w:r>
        <w:t>, in gerechtem Lächeln</w:t>
      </w:r>
      <w:r>
        <w:rPr>
          <w:rStyle w:val="Funotenzeichen"/>
        </w:rPr>
        <w:footnoteReference w:id="6"/>
      </w:r>
      <w:r>
        <w:t xml:space="preserve">. </w:t>
      </w:r>
      <w:r w:rsidRPr="00B129FF">
        <w:t>Das</w:t>
      </w:r>
      <w:r>
        <w:t xml:space="preserve"> Lächeln des Jesu-Kindes ist von tiefster Bedeutung, Gelächter kann man sich bei ihm aber nicht vorstellen</w:t>
      </w:r>
      <w:r>
        <w:rPr>
          <w:rStyle w:val="Funotenzeichen"/>
        </w:rPr>
        <w:footnoteReference w:id="7"/>
      </w:r>
      <w:r>
        <w:t xml:space="preserve">. Freude, </w:t>
      </w:r>
      <w:proofErr w:type="spellStart"/>
      <w:r>
        <w:rPr>
          <w:i/>
        </w:rPr>
        <w:t>laetitia</w:t>
      </w:r>
      <w:proofErr w:type="spellEnd"/>
      <w:r>
        <w:rPr>
          <w:rStyle w:val="Funotenzeichen"/>
        </w:rPr>
        <w:footnoteReference w:id="8"/>
      </w:r>
      <w:r>
        <w:rPr>
          <w:i/>
        </w:rPr>
        <w:t>,</w:t>
      </w:r>
      <w:r>
        <w:t xml:space="preserve"> ist ein Ausfluss der Tugend, kommt sie doch aus der Hoffnung. Der ganze Hof Karls des Großen lachte wohl über die Satire des Johannes </w:t>
      </w:r>
      <w:proofErr w:type="spellStart"/>
      <w:r>
        <w:t>Diaconus</w:t>
      </w:r>
      <w:proofErr w:type="spellEnd"/>
      <w:r>
        <w:t xml:space="preserve"> nach Pseudo-Cyprian</w:t>
      </w:r>
      <w:r>
        <w:rPr>
          <w:rStyle w:val="Funotenzeichen"/>
        </w:rPr>
        <w:footnoteReference w:id="9"/>
      </w:r>
      <w:r>
        <w:t xml:space="preserve">. Das </w:t>
      </w:r>
      <w:r>
        <w:lastRenderedPageBreak/>
        <w:t xml:space="preserve">Lachen ist für Bernhard von Clairvaux der Glanz der göttlichen Liebe, der von innen </w:t>
      </w:r>
      <w:proofErr w:type="gramStart"/>
      <w:r>
        <w:t>kommt</w:t>
      </w:r>
      <w:proofErr w:type="gramEnd"/>
      <w:r>
        <w:rPr>
          <w:rStyle w:val="Funotenzeichen"/>
        </w:rPr>
        <w:footnoteReference w:id="10"/>
      </w:r>
      <w:r>
        <w:t>, und des Lachens wie des Redens hat man sich nur dann zu enthalten, wenn es ausdrücklich angeordnet wird</w:t>
      </w:r>
      <w:r>
        <w:rPr>
          <w:rStyle w:val="Funotenzeichen"/>
        </w:rPr>
        <w:footnoteReference w:id="11"/>
      </w:r>
      <w:r>
        <w:t xml:space="preserve">. Mechthild von Magdeburg stellt – nicht zufällig in einem Abschnitt über den Heiligen Dominikus – fest: </w:t>
      </w:r>
      <w:r>
        <w:rPr>
          <w:i/>
        </w:rPr>
        <w:t xml:space="preserve">Das </w:t>
      </w:r>
      <w:proofErr w:type="spellStart"/>
      <w:r>
        <w:rPr>
          <w:i/>
        </w:rPr>
        <w:t>eini</w:t>
      </w:r>
      <w:proofErr w:type="spellEnd"/>
      <w:r>
        <w:rPr>
          <w:i/>
        </w:rPr>
        <w:t xml:space="preserve"> lachen </w:t>
      </w:r>
      <w:proofErr w:type="spellStart"/>
      <w:r>
        <w:rPr>
          <w:i/>
        </w:rPr>
        <w:t>sunder</w:t>
      </w:r>
      <w:proofErr w:type="spellEnd"/>
      <w:r>
        <w:rPr>
          <w:i/>
        </w:rPr>
        <w:t xml:space="preserve"> </w:t>
      </w:r>
      <w:proofErr w:type="spellStart"/>
      <w:r>
        <w:rPr>
          <w:i/>
        </w:rPr>
        <w:t>italkeit</w:t>
      </w:r>
      <w:proofErr w:type="spellEnd"/>
      <w:r>
        <w:rPr>
          <w:i/>
        </w:rPr>
        <w:t xml:space="preserve"> </w:t>
      </w:r>
      <w:proofErr w:type="spellStart"/>
      <w:r>
        <w:rPr>
          <w:i/>
        </w:rPr>
        <w:t>nit</w:t>
      </w:r>
      <w:proofErr w:type="spellEnd"/>
      <w:r>
        <w:rPr>
          <w:i/>
        </w:rPr>
        <w:t xml:space="preserve"> mag </w:t>
      </w:r>
      <w:proofErr w:type="spellStart"/>
      <w:r>
        <w:rPr>
          <w:i/>
        </w:rPr>
        <w:t>boese</w:t>
      </w:r>
      <w:proofErr w:type="spellEnd"/>
      <w:r>
        <w:rPr>
          <w:i/>
        </w:rPr>
        <w:t xml:space="preserve"> sin, des </w:t>
      </w:r>
      <w:proofErr w:type="spellStart"/>
      <w:r>
        <w:rPr>
          <w:i/>
        </w:rPr>
        <w:t>wiste</w:t>
      </w:r>
      <w:proofErr w:type="spellEnd"/>
      <w:r>
        <w:rPr>
          <w:i/>
        </w:rPr>
        <w:t xml:space="preserve"> ich e des </w:t>
      </w:r>
      <w:proofErr w:type="spellStart"/>
      <w:r>
        <w:rPr>
          <w:i/>
        </w:rPr>
        <w:t>nit</w:t>
      </w:r>
      <w:proofErr w:type="spellEnd"/>
      <w:r>
        <w:rPr>
          <w:rStyle w:val="Funotenzeichen"/>
        </w:rPr>
        <w:footnoteReference w:id="12"/>
      </w:r>
      <w:r>
        <w:rPr>
          <w:i/>
        </w:rPr>
        <w:t xml:space="preserve">. </w:t>
      </w:r>
      <w:r>
        <w:t xml:space="preserve"> Ein Lächeln aus Frohsinn kann man auch an Heiligenfiguren sehen, z. B. in Naumburg. Sie besitzen die </w:t>
      </w:r>
      <w:proofErr w:type="spellStart"/>
      <w:r>
        <w:rPr>
          <w:i/>
        </w:rPr>
        <w:t>beatitudo</w:t>
      </w:r>
      <w:proofErr w:type="spellEnd"/>
      <w:r>
        <w:t>, die aus Gebet und Gottvertrauen entspringt</w:t>
      </w:r>
      <w:r>
        <w:rPr>
          <w:rStyle w:val="Funotenzeichen"/>
        </w:rPr>
        <w:footnoteReference w:id="13"/>
      </w:r>
      <w:r>
        <w:t xml:space="preserve">. Die Furcht, auch die Gottesfurcht, ist bestenfalls der Anfang, die unterste der sieben Gaben des Heiligen Geistes; sie meidet alles, was schön ist und verführen könnte. Ziel aber ist die Liebe, mit der die Freude einhergeht: </w:t>
      </w:r>
      <w:proofErr w:type="spellStart"/>
      <w:r>
        <w:rPr>
          <w:i/>
        </w:rPr>
        <w:t>wande</w:t>
      </w:r>
      <w:proofErr w:type="spellEnd"/>
      <w:r>
        <w:rPr>
          <w:i/>
        </w:rPr>
        <w:t xml:space="preserve"> der </w:t>
      </w:r>
      <w:proofErr w:type="spellStart"/>
      <w:r>
        <w:rPr>
          <w:i/>
        </w:rPr>
        <w:t>tiuvel</w:t>
      </w:r>
      <w:proofErr w:type="spellEnd"/>
      <w:r>
        <w:rPr>
          <w:i/>
        </w:rPr>
        <w:t xml:space="preserve"> </w:t>
      </w:r>
      <w:proofErr w:type="spellStart"/>
      <w:r>
        <w:rPr>
          <w:i/>
        </w:rPr>
        <w:t>nehazzet</w:t>
      </w:r>
      <w:proofErr w:type="spellEnd"/>
      <w:r>
        <w:rPr>
          <w:i/>
        </w:rPr>
        <w:t xml:space="preserve"> an uns </w:t>
      </w:r>
      <w:proofErr w:type="spellStart"/>
      <w:r>
        <w:rPr>
          <w:i/>
        </w:rPr>
        <w:t>niht</w:t>
      </w:r>
      <w:proofErr w:type="spellEnd"/>
      <w:r>
        <w:rPr>
          <w:i/>
        </w:rPr>
        <w:t xml:space="preserve"> </w:t>
      </w:r>
      <w:proofErr w:type="spellStart"/>
      <w:r>
        <w:rPr>
          <w:i/>
        </w:rPr>
        <w:t>sô</w:t>
      </w:r>
      <w:proofErr w:type="spellEnd"/>
      <w:r>
        <w:rPr>
          <w:i/>
        </w:rPr>
        <w:t xml:space="preserve"> harte </w:t>
      </w:r>
      <w:proofErr w:type="spellStart"/>
      <w:r>
        <w:rPr>
          <w:i/>
        </w:rPr>
        <w:t>sô</w:t>
      </w:r>
      <w:proofErr w:type="spellEnd"/>
      <w:r>
        <w:rPr>
          <w:i/>
        </w:rPr>
        <w:t xml:space="preserve"> die </w:t>
      </w:r>
      <w:proofErr w:type="spellStart"/>
      <w:r>
        <w:rPr>
          <w:i/>
        </w:rPr>
        <w:t>staetegen</w:t>
      </w:r>
      <w:proofErr w:type="spellEnd"/>
      <w:r>
        <w:rPr>
          <w:i/>
        </w:rPr>
        <w:t xml:space="preserve"> </w:t>
      </w:r>
      <w:proofErr w:type="spellStart"/>
      <w:r>
        <w:rPr>
          <w:i/>
        </w:rPr>
        <w:t>mandunge</w:t>
      </w:r>
      <w:proofErr w:type="spellEnd"/>
      <w:r>
        <w:rPr>
          <w:i/>
        </w:rPr>
        <w:t xml:space="preserve"> </w:t>
      </w:r>
      <w:proofErr w:type="spellStart"/>
      <w:r>
        <w:rPr>
          <w:i/>
        </w:rPr>
        <w:t>unde</w:t>
      </w:r>
      <w:proofErr w:type="spellEnd"/>
      <w:r>
        <w:rPr>
          <w:i/>
        </w:rPr>
        <w:t xml:space="preserve"> </w:t>
      </w:r>
      <w:proofErr w:type="spellStart"/>
      <w:r>
        <w:rPr>
          <w:i/>
        </w:rPr>
        <w:t>daz</w:t>
      </w:r>
      <w:proofErr w:type="spellEnd"/>
      <w:r>
        <w:rPr>
          <w:i/>
        </w:rPr>
        <w:t xml:space="preserve"> ringe </w:t>
      </w:r>
      <w:proofErr w:type="spellStart"/>
      <w:r>
        <w:rPr>
          <w:i/>
        </w:rPr>
        <w:t>gemüete</w:t>
      </w:r>
      <w:proofErr w:type="spellEnd"/>
      <w:r>
        <w:rPr>
          <w:rStyle w:val="Funotenzeichen"/>
        </w:rPr>
        <w:footnoteReference w:id="14"/>
      </w:r>
      <w:r>
        <w:t xml:space="preserve">, oder auf Lateinisch: </w:t>
      </w:r>
      <w:r>
        <w:rPr>
          <w:i/>
        </w:rPr>
        <w:t xml:space="preserve">Ante </w:t>
      </w:r>
      <w:proofErr w:type="spellStart"/>
      <w:r>
        <w:rPr>
          <w:i/>
        </w:rPr>
        <w:t>omnia</w:t>
      </w:r>
      <w:proofErr w:type="spellEnd"/>
      <w:r>
        <w:rPr>
          <w:i/>
        </w:rPr>
        <w:t xml:space="preserve"> </w:t>
      </w:r>
      <w:proofErr w:type="spellStart"/>
      <w:r>
        <w:rPr>
          <w:i/>
        </w:rPr>
        <w:t>stude</w:t>
      </w:r>
      <w:proofErr w:type="spellEnd"/>
      <w:r>
        <w:rPr>
          <w:i/>
        </w:rPr>
        <w:t xml:space="preserve"> </w:t>
      </w:r>
      <w:proofErr w:type="spellStart"/>
      <w:r>
        <w:rPr>
          <w:i/>
        </w:rPr>
        <w:t>celesti</w:t>
      </w:r>
      <w:proofErr w:type="spellEnd"/>
      <w:r>
        <w:rPr>
          <w:i/>
        </w:rPr>
        <w:t xml:space="preserve"> </w:t>
      </w:r>
      <w:proofErr w:type="spellStart"/>
      <w:r>
        <w:rPr>
          <w:i/>
        </w:rPr>
        <w:t>sponso</w:t>
      </w:r>
      <w:proofErr w:type="spellEnd"/>
      <w:r>
        <w:rPr>
          <w:i/>
        </w:rPr>
        <w:t xml:space="preserve"> in </w:t>
      </w:r>
      <w:proofErr w:type="spellStart"/>
      <w:r>
        <w:rPr>
          <w:i/>
        </w:rPr>
        <w:t>hilaritate</w:t>
      </w:r>
      <w:proofErr w:type="spellEnd"/>
      <w:r>
        <w:rPr>
          <w:i/>
        </w:rPr>
        <w:t xml:space="preserve"> </w:t>
      </w:r>
      <w:proofErr w:type="spellStart"/>
      <w:r>
        <w:rPr>
          <w:i/>
        </w:rPr>
        <w:t>servire</w:t>
      </w:r>
      <w:proofErr w:type="spellEnd"/>
      <w:r>
        <w:t>, vor allem bemühe dich, dem himmlischen Bräutigam mit Freude zu dienen</w:t>
      </w:r>
      <w:r>
        <w:rPr>
          <w:rStyle w:val="Funotenzeichen"/>
        </w:rPr>
        <w:footnoteReference w:id="15"/>
      </w:r>
      <w:r>
        <w:rPr>
          <w:i/>
        </w:rPr>
        <w:t xml:space="preserve">. </w:t>
      </w:r>
    </w:p>
    <w:p w14:paraId="50946CA1" w14:textId="77777777" w:rsidR="003C4A8A" w:rsidRDefault="003C4A8A" w:rsidP="003C4A8A">
      <w:r>
        <w:t>Abraham und Sara haben ungläubig gelacht, als sie erfuhren, dass sie trotz ihres hohen Alters noch einen Nachkommen haben würden (Gen 17 17 und 18, 12f.)</w:t>
      </w:r>
      <w:r>
        <w:rPr>
          <w:rStyle w:val="Funotenzeichen"/>
        </w:rPr>
        <w:footnoteReference w:id="16"/>
      </w:r>
      <w:r>
        <w:t xml:space="preserve">. Das dumme und laute Lachen, </w:t>
      </w:r>
      <w:proofErr w:type="spellStart"/>
      <w:r>
        <w:rPr>
          <w:i/>
        </w:rPr>
        <w:t>risus</w:t>
      </w:r>
      <w:proofErr w:type="spellEnd"/>
      <w:r>
        <w:rPr>
          <w:i/>
        </w:rPr>
        <w:t xml:space="preserve"> </w:t>
      </w:r>
      <w:r>
        <w:t xml:space="preserve">oder lautmalend </w:t>
      </w:r>
      <w:proofErr w:type="spellStart"/>
      <w:r>
        <w:rPr>
          <w:i/>
        </w:rPr>
        <w:t>cachinnus</w:t>
      </w:r>
      <w:proofErr w:type="spellEnd"/>
      <w:r>
        <w:rPr>
          <w:rStyle w:val="Funotenzeichen"/>
        </w:rPr>
        <w:footnoteReference w:id="17"/>
      </w:r>
      <w:r>
        <w:rPr>
          <w:i/>
        </w:rPr>
        <w:t>,</w:t>
      </w:r>
      <w:r>
        <w:t xml:space="preserve"> wird mit den Lauten des Viehs verglichen und die </w:t>
      </w:r>
      <w:proofErr w:type="spellStart"/>
      <w:r>
        <w:rPr>
          <w:i/>
        </w:rPr>
        <w:t>inepta</w:t>
      </w:r>
      <w:proofErr w:type="spellEnd"/>
      <w:r>
        <w:rPr>
          <w:i/>
        </w:rPr>
        <w:t xml:space="preserve"> </w:t>
      </w:r>
      <w:proofErr w:type="spellStart"/>
      <w:r>
        <w:rPr>
          <w:i/>
        </w:rPr>
        <w:t>laetitia</w:t>
      </w:r>
      <w:proofErr w:type="spellEnd"/>
      <w:r>
        <w:t>, die läppische Freude, ist schändlich nackt, hat Affenhände und den Unterleib einer Ziege. Die Verachtung für dieses Gelächter gilt nicht nur für geistliche Personen, sondern für höfische Menschen auch</w:t>
      </w:r>
      <w:r>
        <w:rPr>
          <w:rStyle w:val="Funotenzeichen"/>
        </w:rPr>
        <w:footnoteReference w:id="18"/>
      </w:r>
      <w:r>
        <w:t>. Außerdem ist es ungesund, behauptet Hildegard</w:t>
      </w:r>
      <w:r>
        <w:rPr>
          <w:rStyle w:val="Funotenzeichen"/>
        </w:rPr>
        <w:footnoteReference w:id="19"/>
      </w:r>
      <w:r>
        <w:t xml:space="preserve">. Verurteilt wird die </w:t>
      </w:r>
      <w:proofErr w:type="spellStart"/>
      <w:r>
        <w:rPr>
          <w:i/>
        </w:rPr>
        <w:t>petulantia</w:t>
      </w:r>
      <w:proofErr w:type="spellEnd"/>
      <w:r>
        <w:t>, in etwa der Übermut</w:t>
      </w:r>
      <w:r>
        <w:rPr>
          <w:rStyle w:val="Funotenzeichen"/>
        </w:rPr>
        <w:footnoteReference w:id="20"/>
      </w:r>
      <w:r>
        <w:t xml:space="preserve">. </w:t>
      </w:r>
    </w:p>
    <w:p w14:paraId="6918496F" w14:textId="77777777" w:rsidR="003C4A8A" w:rsidRDefault="003C4A8A" w:rsidP="003C4A8A">
      <w:r>
        <w:t>In der Predigt allerdings, rät schon Ambrosius, sollte man das Publikum eher nicht mit Scherzen oder Fabeln vom Wesentlichen ablenken</w:t>
      </w:r>
      <w:r>
        <w:rPr>
          <w:rStyle w:val="Funotenzeichen"/>
        </w:rPr>
        <w:footnoteReference w:id="21"/>
      </w:r>
      <w:r>
        <w:t xml:space="preserve">. </w:t>
      </w:r>
      <w:proofErr w:type="spellStart"/>
      <w:r>
        <w:rPr>
          <w:i/>
        </w:rPr>
        <w:t>Iocus</w:t>
      </w:r>
      <w:proofErr w:type="spellEnd"/>
      <w:r>
        <w:t xml:space="preserve"> (Scherz) ist ein illegitimer Spross </w:t>
      </w:r>
      <w:r>
        <w:lastRenderedPageBreak/>
        <w:t xml:space="preserve">der Venus aus einer Verbindung mit dem vulgären Antigenius. Diese Geschichte steht nicht in den </w:t>
      </w:r>
      <w:proofErr w:type="spellStart"/>
      <w:r>
        <w:t>Metamophosen</w:t>
      </w:r>
      <w:proofErr w:type="spellEnd"/>
      <w:r>
        <w:t xml:space="preserve"> des Ovid. </w:t>
      </w:r>
      <w:r>
        <w:rPr>
          <w:i/>
        </w:rPr>
        <w:t xml:space="preserve">Placet, </w:t>
      </w:r>
      <w:proofErr w:type="spellStart"/>
      <w:r>
        <w:rPr>
          <w:i/>
        </w:rPr>
        <w:t>fateor</w:t>
      </w:r>
      <w:proofErr w:type="spellEnd"/>
      <w:r>
        <w:rPr>
          <w:i/>
        </w:rPr>
        <w:t xml:space="preserve">, </w:t>
      </w:r>
      <w:proofErr w:type="spellStart"/>
      <w:r>
        <w:rPr>
          <w:i/>
        </w:rPr>
        <w:t>iocus</w:t>
      </w:r>
      <w:proofErr w:type="spellEnd"/>
      <w:r>
        <w:rPr>
          <w:rStyle w:val="Funotenzeichen"/>
        </w:rPr>
        <w:footnoteReference w:id="22"/>
      </w:r>
      <w:r>
        <w:rPr>
          <w:i/>
        </w:rPr>
        <w:t>.</w:t>
      </w:r>
      <w:r>
        <w:t xml:space="preserve"> Scherze stehen immer der Lüge nahe</w:t>
      </w:r>
      <w:r>
        <w:rPr>
          <w:rStyle w:val="Funotenzeichen"/>
        </w:rPr>
        <w:footnoteReference w:id="23"/>
      </w:r>
      <w:r>
        <w:t xml:space="preserve">, der Scherzbold ist verdächtig. Sieht man genauer hin, wird immer wieder deutlich, dass von vielen Moralisten nicht Lachen aus </w:t>
      </w:r>
      <w:proofErr w:type="gramStart"/>
      <w:r>
        <w:t>Freude</w:t>
      </w:r>
      <w:proofErr w:type="gramEnd"/>
      <w:r>
        <w:t xml:space="preserve"> sondern das Lachen </w:t>
      </w:r>
      <w:r>
        <w:rPr>
          <w:spacing w:val="20"/>
        </w:rPr>
        <w:t>über</w:t>
      </w:r>
      <w:r>
        <w:t xml:space="preserve"> jemanden angeprangert wird; viele überlieferte Scherze, auch aus Mönchskreisen, sind ausgesprochen grob und gehen oft auf jemandes Kosten. </w:t>
      </w:r>
    </w:p>
    <w:p w14:paraId="63C60535" w14:textId="77777777" w:rsidR="003C4A8A" w:rsidRDefault="003C4A8A" w:rsidP="003C4A8A">
      <w:r>
        <w:t>Ganz grotesk wird manchmal der Humor in Heiligenlegenden, nach dem Muster des Heiligen Laurentius, der auf dem Rost umgewendet zu werden wünscht</w:t>
      </w:r>
      <w:r>
        <w:rPr>
          <w:rStyle w:val="Funotenzeichen"/>
        </w:rPr>
        <w:footnoteReference w:id="24"/>
      </w:r>
      <w:r>
        <w:t>. So triumphieren auch zarte Jungfrauen über schreckliche Widersacher. Eulalia z. B.</w:t>
      </w:r>
      <w:r>
        <w:rPr>
          <w:rStyle w:val="Funotenzeichen"/>
        </w:rPr>
        <w:footnoteReference w:id="25"/>
      </w:r>
      <w:r>
        <w:t xml:space="preserve"> spuckt auf den Richter. Recht drastisch geht es auch in Ekkehards </w:t>
      </w:r>
      <w:proofErr w:type="spellStart"/>
      <w:r>
        <w:t>Waltharius</w:t>
      </w:r>
      <w:proofErr w:type="spellEnd"/>
      <w:r>
        <w:t xml:space="preserve"> zu, wo am Ende keiner dem anderen etwas schuldig bleibt, weder Hieb noch Witz. Von seltsamem „Geschmack“ ist in der Regel der Küchenhumor</w:t>
      </w:r>
      <w:r>
        <w:rPr>
          <w:rStyle w:val="Funotenzeichen"/>
        </w:rPr>
        <w:footnoteReference w:id="26"/>
      </w:r>
      <w:r>
        <w:t>, gänzlich ohne solchen das Motiv vom π</w:t>
      </w:r>
      <w:proofErr w:type="spellStart"/>
      <w:r>
        <w:t>ρωκτὸς</w:t>
      </w:r>
      <w:proofErr w:type="spellEnd"/>
      <w:r>
        <w:t xml:space="preserve"> λα</w:t>
      </w:r>
      <w:proofErr w:type="spellStart"/>
      <w:r>
        <w:t>λῶν</w:t>
      </w:r>
      <w:proofErr w:type="spellEnd"/>
      <w:r>
        <w:t xml:space="preserve"> (sprechenden Hintern), den </w:t>
      </w:r>
      <w:proofErr w:type="spellStart"/>
      <w:r>
        <w:rPr>
          <w:i/>
        </w:rPr>
        <w:t>carmina</w:t>
      </w:r>
      <w:proofErr w:type="spellEnd"/>
      <w:r>
        <w:rPr>
          <w:i/>
        </w:rPr>
        <w:t xml:space="preserve"> </w:t>
      </w:r>
      <w:proofErr w:type="spellStart"/>
      <w:r>
        <w:rPr>
          <w:i/>
        </w:rPr>
        <w:t>podicis</w:t>
      </w:r>
      <w:proofErr w:type="spellEnd"/>
      <w:r>
        <w:rPr>
          <w:rStyle w:val="Funotenzeichen"/>
        </w:rPr>
        <w:footnoteReference w:id="27"/>
      </w:r>
      <w:r>
        <w:rPr>
          <w:i/>
        </w:rPr>
        <w:t xml:space="preserve">. </w:t>
      </w:r>
    </w:p>
    <w:p w14:paraId="3EC2B2F2" w14:textId="77777777" w:rsidR="003C4A8A" w:rsidRDefault="003C4A8A" w:rsidP="003C4A8A">
      <w:r>
        <w:t>Viele der drastischen Strafwunder sollten wohl komisch sein. Man kann sich vorstellen, dass es ein nicht ganz heiliger Frohsinn war, der aufbrandete, wenn erzählt wurde, dass ein Übeltäter zu einer Latrine flüchtete und dort hineinfiel. Nur mehr seinen Mantel fand man an einem Haken hängen</w:t>
      </w:r>
      <w:r>
        <w:rPr>
          <w:rStyle w:val="Funotenzeichen"/>
        </w:rPr>
        <w:footnoteReference w:id="28"/>
      </w:r>
      <w:r>
        <w:t>. Mitlachen können wir vielleicht, wenn ein zahmes Reh, das sich ein Bein gebrochen hatte, sich in die Kirche zum Grab eines – gar königlichen – Heiligen verirrt und prompt dort wundersame Heilung findet</w:t>
      </w:r>
      <w:r>
        <w:rPr>
          <w:rStyle w:val="Funotenzeichen"/>
        </w:rPr>
        <w:footnoteReference w:id="29"/>
      </w:r>
      <w:r>
        <w:t xml:space="preserve">. Ist es ernst gemeint, wenn erzählt wird, dass man den Arm des seligen Arnulf zur Probe in ein Feuer warf und er unverletzt heraussprang? Einerseits habe, erzählt </w:t>
      </w:r>
      <w:proofErr w:type="spellStart"/>
      <w:r>
        <w:t>Guibert</w:t>
      </w:r>
      <w:proofErr w:type="spellEnd"/>
      <w:r>
        <w:t xml:space="preserve">, gerade dieser Arm einigen seiner Verwandten </w:t>
      </w:r>
      <w:proofErr w:type="gramStart"/>
      <w:r>
        <w:t>gut getan</w:t>
      </w:r>
      <w:proofErr w:type="gramEnd"/>
      <w:r>
        <w:t xml:space="preserve">, andererseits wissen wir aus seinen anderen Schriften, dass der Autor gegenüber Reliquien einige Skepsis entwickeln konnte. Ein anderer/gleicher Arm – </w:t>
      </w:r>
      <w:proofErr w:type="spellStart"/>
      <w:r>
        <w:rPr>
          <w:i/>
        </w:rPr>
        <w:t>itidem</w:t>
      </w:r>
      <w:proofErr w:type="spellEnd"/>
      <w:r>
        <w:t xml:space="preserve"> – befinde sich auf einer Burg im </w:t>
      </w:r>
      <w:proofErr w:type="spellStart"/>
      <w:r>
        <w:t>Laonnais</w:t>
      </w:r>
      <w:proofErr w:type="spellEnd"/>
      <w:r>
        <w:t xml:space="preserve"> und könne sich wunderbar verteidigen gegen Diebe. Wir wissen, dass </w:t>
      </w:r>
      <w:r>
        <w:lastRenderedPageBreak/>
        <w:t>Partikel oder Berührungsreliquien gemeint sein können, aber neigen dazu, zu lachen, wenn wir lesen, wie unverschämt der Autor diese beiden Kostbarkeiten nebeneinander stellt</w:t>
      </w:r>
      <w:r>
        <w:rPr>
          <w:rStyle w:val="Funotenzeichen"/>
        </w:rPr>
        <w:footnoteReference w:id="30"/>
      </w:r>
      <w:r>
        <w:t xml:space="preserve">. </w:t>
      </w:r>
    </w:p>
    <w:p w14:paraId="53FF85D8" w14:textId="77777777" w:rsidR="00022BA7" w:rsidRDefault="00022BA7"/>
    <w:sectPr w:rsidR="00022BA7" w:rsidSect="00904B4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D9EB" w14:textId="77777777" w:rsidR="00EA0FF7" w:rsidRDefault="00EA0FF7" w:rsidP="003C4A8A">
      <w:pPr>
        <w:spacing w:after="0" w:line="240" w:lineRule="auto"/>
      </w:pPr>
      <w:r>
        <w:separator/>
      </w:r>
    </w:p>
  </w:endnote>
  <w:endnote w:type="continuationSeparator" w:id="0">
    <w:p w14:paraId="4CD0D052" w14:textId="77777777" w:rsidR="00EA0FF7" w:rsidRDefault="00EA0FF7" w:rsidP="003C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Zapf Dingbats">
    <w:altName w:val="Wingdings"/>
    <w:panose1 w:val="020B0604020202020204"/>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DB520" w14:textId="77777777" w:rsidR="00EA0FF7" w:rsidRDefault="00EA0FF7" w:rsidP="003C4A8A">
      <w:pPr>
        <w:spacing w:after="0" w:line="240" w:lineRule="auto"/>
      </w:pPr>
      <w:r>
        <w:separator/>
      </w:r>
    </w:p>
  </w:footnote>
  <w:footnote w:type="continuationSeparator" w:id="0">
    <w:p w14:paraId="5E70841B" w14:textId="77777777" w:rsidR="00EA0FF7" w:rsidRDefault="00EA0FF7" w:rsidP="003C4A8A">
      <w:pPr>
        <w:spacing w:after="0" w:line="240" w:lineRule="auto"/>
      </w:pPr>
      <w:r>
        <w:continuationSeparator/>
      </w:r>
    </w:p>
  </w:footnote>
  <w:footnote w:id="1">
    <w:p w14:paraId="4E57CEF2" w14:textId="77777777" w:rsidR="003C4A8A" w:rsidRDefault="003C4A8A" w:rsidP="003C4A8A">
      <w:pPr>
        <w:pStyle w:val="Funotentext"/>
      </w:pPr>
      <w:r>
        <w:rPr>
          <w:rStyle w:val="Funotenzeichen"/>
        </w:rPr>
        <w:footnoteRef/>
      </w:r>
      <w:r>
        <w:t xml:space="preserve"> Letzteres wohl nicht zufällig von Hildegard, Liber </w:t>
      </w:r>
      <w:proofErr w:type="spellStart"/>
      <w:r>
        <w:t>vitae</w:t>
      </w:r>
      <w:proofErr w:type="spellEnd"/>
      <w:r>
        <w:t xml:space="preserve"> </w:t>
      </w:r>
      <w:proofErr w:type="spellStart"/>
      <w:r>
        <w:t>meritorum</w:t>
      </w:r>
      <w:proofErr w:type="spellEnd"/>
      <w:r>
        <w:t xml:space="preserve"> 1 CXXIII, 64f. in einschlägigem Zusammenhang zitiert. </w:t>
      </w:r>
    </w:p>
  </w:footnote>
  <w:footnote w:id="2">
    <w:p w14:paraId="19AAFC5F" w14:textId="77777777" w:rsidR="003C4A8A" w:rsidRDefault="003C4A8A" w:rsidP="003C4A8A">
      <w:pPr>
        <w:pStyle w:val="Funotentext"/>
        <w:rPr>
          <w:lang w:val="en-GB"/>
        </w:rPr>
      </w:pPr>
      <w:r>
        <w:rPr>
          <w:rStyle w:val="Funotenzeichen"/>
        </w:rPr>
        <w:footnoteRef/>
      </w:r>
      <w:r>
        <w:rPr>
          <w:lang w:val="en-GB"/>
        </w:rPr>
        <w:t xml:space="preserve"> </w:t>
      </w:r>
      <w:proofErr w:type="spellStart"/>
      <w:r>
        <w:rPr>
          <w:lang w:val="en-GB"/>
        </w:rPr>
        <w:t>Eccle</w:t>
      </w:r>
      <w:proofErr w:type="spellEnd"/>
      <w:r>
        <w:rPr>
          <w:lang w:val="en-GB"/>
        </w:rPr>
        <w:t xml:space="preserve"> 2, 2; </w:t>
      </w:r>
      <w:proofErr w:type="spellStart"/>
      <w:r>
        <w:rPr>
          <w:lang w:val="en-GB"/>
        </w:rPr>
        <w:t>Prov</w:t>
      </w:r>
      <w:proofErr w:type="spellEnd"/>
      <w:r>
        <w:rPr>
          <w:lang w:val="en-GB"/>
        </w:rPr>
        <w:t xml:space="preserve"> 14, 13; Lc 6, 25; </w:t>
      </w:r>
      <w:proofErr w:type="spellStart"/>
      <w:r>
        <w:rPr>
          <w:lang w:val="en-GB"/>
        </w:rPr>
        <w:t>Hildebert</w:t>
      </w:r>
      <w:proofErr w:type="spellEnd"/>
      <w:r>
        <w:rPr>
          <w:lang w:val="en-GB"/>
        </w:rPr>
        <w:t xml:space="preserve">, </w:t>
      </w:r>
      <w:proofErr w:type="spellStart"/>
      <w:r>
        <w:rPr>
          <w:lang w:val="en-GB"/>
        </w:rPr>
        <w:t>Sermones</w:t>
      </w:r>
      <w:proofErr w:type="spellEnd"/>
      <w:r>
        <w:rPr>
          <w:lang w:val="en-GB"/>
        </w:rPr>
        <w:t xml:space="preserve"> 27, 469. </w:t>
      </w:r>
    </w:p>
  </w:footnote>
  <w:footnote w:id="3">
    <w:p w14:paraId="4FA095E9" w14:textId="77777777" w:rsidR="003C4A8A" w:rsidRPr="003C4A8A" w:rsidRDefault="003C4A8A" w:rsidP="003C4A8A">
      <w:pPr>
        <w:pStyle w:val="Funotentext"/>
        <w:rPr>
          <w:lang w:val="en-US"/>
        </w:rPr>
      </w:pPr>
      <w:r>
        <w:rPr>
          <w:rStyle w:val="Funotenzeichen"/>
        </w:rPr>
        <w:footnoteRef/>
      </w:r>
      <w:r w:rsidRPr="003C4A8A">
        <w:rPr>
          <w:lang w:val="en-US"/>
        </w:rPr>
        <w:t xml:space="preserve"> </w:t>
      </w:r>
      <w:proofErr w:type="spellStart"/>
      <w:r w:rsidRPr="003C4A8A">
        <w:rPr>
          <w:lang w:val="en-US"/>
        </w:rPr>
        <w:t>Aelred</w:t>
      </w:r>
      <w:proofErr w:type="spellEnd"/>
      <w:r w:rsidRPr="003C4A8A">
        <w:rPr>
          <w:lang w:val="en-US"/>
        </w:rPr>
        <w:t xml:space="preserve">, </w:t>
      </w:r>
      <w:proofErr w:type="spellStart"/>
      <w:r w:rsidRPr="003C4A8A">
        <w:rPr>
          <w:lang w:val="en-US"/>
        </w:rPr>
        <w:t>serm</w:t>
      </w:r>
      <w:proofErr w:type="spellEnd"/>
      <w:r w:rsidRPr="003C4A8A">
        <w:rPr>
          <w:lang w:val="en-US"/>
        </w:rPr>
        <w:t xml:space="preserve"> LXXIV 13, 250. </w:t>
      </w:r>
    </w:p>
  </w:footnote>
  <w:footnote w:id="4">
    <w:p w14:paraId="5EA3FDD5" w14:textId="77777777" w:rsidR="003C4A8A" w:rsidRDefault="003C4A8A" w:rsidP="003C4A8A">
      <w:pPr>
        <w:pStyle w:val="Funotentext"/>
        <w:rPr>
          <w:lang w:val="en-GB"/>
        </w:rPr>
      </w:pPr>
      <w:r>
        <w:rPr>
          <w:rStyle w:val="Funotenzeichen"/>
        </w:rPr>
        <w:footnoteRef/>
      </w:r>
      <w:r>
        <w:rPr>
          <w:lang w:val="en-GB"/>
        </w:rPr>
        <w:t xml:space="preserve"> Alain, </w:t>
      </w:r>
      <w:proofErr w:type="spellStart"/>
      <w:r>
        <w:rPr>
          <w:lang w:val="en-GB"/>
        </w:rPr>
        <w:t>Anticlaudianus</w:t>
      </w:r>
      <w:proofErr w:type="spellEnd"/>
      <w:r>
        <w:rPr>
          <w:lang w:val="en-GB"/>
        </w:rPr>
        <w:t xml:space="preserve"> I 36, 58; VII 102–109, 160 (</w:t>
      </w:r>
      <w:proofErr w:type="spellStart"/>
      <w:r>
        <w:rPr>
          <w:lang w:val="en-GB"/>
        </w:rPr>
        <w:t>Übersetzung</w:t>
      </w:r>
      <w:proofErr w:type="spellEnd"/>
      <w:r>
        <w:rPr>
          <w:lang w:val="en-GB"/>
        </w:rPr>
        <w:t xml:space="preserve"> </w:t>
      </w:r>
      <w:r w:rsidRPr="004C0EB3">
        <w:rPr>
          <w:smallCaps/>
          <w:lang w:val="en-GB"/>
        </w:rPr>
        <w:t>Sheridan</w:t>
      </w:r>
      <w:r>
        <w:rPr>
          <w:lang w:val="en-GB"/>
        </w:rPr>
        <w:t xml:space="preserve"> 176): </w:t>
      </w:r>
      <w:proofErr w:type="spellStart"/>
      <w:r w:rsidRPr="00EB6BA1">
        <w:rPr>
          <w:lang w:val="en-GB"/>
        </w:rPr>
        <w:t>Risus</w:t>
      </w:r>
      <w:proofErr w:type="spellEnd"/>
      <w:r w:rsidRPr="00EB6BA1">
        <w:rPr>
          <w:lang w:val="en-GB"/>
        </w:rPr>
        <w:t xml:space="preserve"> </w:t>
      </w:r>
      <w:proofErr w:type="spellStart"/>
      <w:r w:rsidRPr="00EB6BA1">
        <w:rPr>
          <w:lang w:val="en-GB"/>
        </w:rPr>
        <w:t>adest</w:t>
      </w:r>
      <w:proofErr w:type="spellEnd"/>
      <w:r w:rsidRPr="00EB6BA1">
        <w:rPr>
          <w:lang w:val="en-GB"/>
        </w:rPr>
        <w:t xml:space="preserve">, </w:t>
      </w:r>
      <w:proofErr w:type="spellStart"/>
      <w:r w:rsidRPr="00EB6BA1">
        <w:rPr>
          <w:lang w:val="en-GB"/>
        </w:rPr>
        <w:t>non ille</w:t>
      </w:r>
      <w:proofErr w:type="spellEnd"/>
      <w:r w:rsidRPr="00EB6BA1">
        <w:rPr>
          <w:lang w:val="en-GB"/>
        </w:rPr>
        <w:t xml:space="preserve"> </w:t>
      </w:r>
      <w:proofErr w:type="spellStart"/>
      <w:r w:rsidRPr="00EB6BA1">
        <w:rPr>
          <w:lang w:val="en-GB"/>
        </w:rPr>
        <w:t>tamen</w:t>
      </w:r>
      <w:proofErr w:type="spellEnd"/>
      <w:r w:rsidRPr="00EB6BA1">
        <w:rPr>
          <w:lang w:val="en-GB"/>
        </w:rPr>
        <w:t xml:space="preserve"> </w:t>
      </w:r>
      <w:proofErr w:type="spellStart"/>
      <w:r w:rsidRPr="00EB6BA1">
        <w:rPr>
          <w:lang w:val="en-GB"/>
        </w:rPr>
        <w:t>quem</w:t>
      </w:r>
      <w:proofErr w:type="spellEnd"/>
      <w:r w:rsidRPr="00EB6BA1">
        <w:rPr>
          <w:lang w:val="en-GB"/>
        </w:rPr>
        <w:t xml:space="preserve"> </w:t>
      </w:r>
      <w:proofErr w:type="spellStart"/>
      <w:r w:rsidRPr="00EB6BA1">
        <w:rPr>
          <w:lang w:val="en-GB"/>
        </w:rPr>
        <w:t>sepe</w:t>
      </w:r>
      <w:proofErr w:type="spellEnd"/>
      <w:r w:rsidRPr="00EB6BA1">
        <w:rPr>
          <w:lang w:val="en-GB"/>
        </w:rPr>
        <w:t xml:space="preserve"> </w:t>
      </w:r>
      <w:proofErr w:type="spellStart"/>
      <w:r w:rsidRPr="00EB6BA1">
        <w:rPr>
          <w:lang w:val="en-GB"/>
        </w:rPr>
        <w:t>maligna</w:t>
      </w:r>
      <w:proofErr w:type="spellEnd"/>
      <w:r w:rsidRPr="00EB6BA1">
        <w:rPr>
          <w:lang w:val="en-GB"/>
        </w:rPr>
        <w:t xml:space="preserve"> / </w:t>
      </w:r>
      <w:proofErr w:type="spellStart"/>
      <w:r w:rsidRPr="00EB6BA1">
        <w:rPr>
          <w:lang w:val="en-GB"/>
        </w:rPr>
        <w:t>Gignit</w:t>
      </w:r>
      <w:proofErr w:type="spellEnd"/>
      <w:r w:rsidRPr="00EB6BA1">
        <w:rPr>
          <w:lang w:val="en-GB"/>
        </w:rPr>
        <w:t xml:space="preserve"> </w:t>
      </w:r>
      <w:proofErr w:type="spellStart"/>
      <w:r w:rsidRPr="00EB6BA1">
        <w:rPr>
          <w:lang w:val="en-GB"/>
        </w:rPr>
        <w:t>abortivum</w:t>
      </w:r>
      <w:proofErr w:type="spellEnd"/>
      <w:r w:rsidRPr="00EB6BA1">
        <w:rPr>
          <w:lang w:val="en-GB"/>
        </w:rPr>
        <w:t xml:space="preserve"> </w:t>
      </w:r>
      <w:proofErr w:type="spellStart"/>
      <w:r w:rsidRPr="00EB6BA1">
        <w:rPr>
          <w:lang w:val="en-GB"/>
        </w:rPr>
        <w:t>derisio</w:t>
      </w:r>
      <w:proofErr w:type="spellEnd"/>
      <w:r w:rsidRPr="00EB6BA1">
        <w:rPr>
          <w:lang w:val="en-GB"/>
        </w:rPr>
        <w:t xml:space="preserve">, livor ab </w:t>
      </w:r>
      <w:proofErr w:type="spellStart"/>
      <w:r w:rsidRPr="00EB6BA1">
        <w:rPr>
          <w:lang w:val="en-GB"/>
        </w:rPr>
        <w:t>intus</w:t>
      </w:r>
      <w:proofErr w:type="spellEnd"/>
      <w:r w:rsidRPr="00EB6BA1">
        <w:rPr>
          <w:lang w:val="en-GB"/>
        </w:rPr>
        <w:t xml:space="preserve"> / </w:t>
      </w:r>
      <w:proofErr w:type="spellStart"/>
      <w:r w:rsidRPr="00EB6BA1">
        <w:rPr>
          <w:lang w:val="fr-FR"/>
        </w:rPr>
        <w:t>Parturit</w:t>
      </w:r>
      <w:proofErr w:type="spellEnd"/>
      <w:r w:rsidRPr="00EB6BA1">
        <w:rPr>
          <w:lang w:val="fr-FR"/>
        </w:rPr>
        <w:t xml:space="preserve"> </w:t>
      </w:r>
      <w:proofErr w:type="spellStart"/>
      <w:r w:rsidRPr="00EB6BA1">
        <w:rPr>
          <w:lang w:val="fr-FR"/>
        </w:rPr>
        <w:t>aut</w:t>
      </w:r>
      <w:proofErr w:type="spellEnd"/>
      <w:r w:rsidRPr="00EB6BA1">
        <w:rPr>
          <w:lang w:val="fr-FR"/>
        </w:rPr>
        <w:t xml:space="preserve"> extra </w:t>
      </w:r>
      <w:proofErr w:type="spellStart"/>
      <w:r w:rsidRPr="007355A8">
        <w:rPr>
          <w:i/>
          <w:lang w:val="fr-FR"/>
        </w:rPr>
        <w:t>falsi</w:t>
      </w:r>
      <w:proofErr w:type="spellEnd"/>
      <w:r w:rsidRPr="007355A8">
        <w:rPr>
          <w:i/>
          <w:lang w:val="fr-FR"/>
        </w:rPr>
        <w:t xml:space="preserve"> </w:t>
      </w:r>
      <w:proofErr w:type="spellStart"/>
      <w:r w:rsidRPr="007355A8">
        <w:rPr>
          <w:i/>
          <w:lang w:val="fr-FR"/>
        </w:rPr>
        <w:t>describit</w:t>
      </w:r>
      <w:proofErr w:type="spellEnd"/>
      <w:r w:rsidRPr="007355A8">
        <w:rPr>
          <w:i/>
          <w:lang w:val="fr-FR"/>
        </w:rPr>
        <w:t xml:space="preserve"> </w:t>
      </w:r>
      <w:proofErr w:type="spellStart"/>
      <w:r w:rsidRPr="007355A8">
        <w:rPr>
          <w:i/>
          <w:lang w:val="fr-FR"/>
        </w:rPr>
        <w:t>amoris</w:t>
      </w:r>
      <w:proofErr w:type="spellEnd"/>
      <w:r w:rsidRPr="007355A8">
        <w:rPr>
          <w:i/>
          <w:lang w:val="en-GB"/>
        </w:rPr>
        <w:t xml:space="preserve"> / </w:t>
      </w:r>
      <w:r w:rsidRPr="007355A8">
        <w:rPr>
          <w:i/>
          <w:lang w:val="it-IT"/>
        </w:rPr>
        <w:t xml:space="preserve">Forma, </w:t>
      </w:r>
      <w:proofErr w:type="spellStart"/>
      <w:r w:rsidRPr="007355A8">
        <w:rPr>
          <w:i/>
          <w:lang w:val="it-IT"/>
        </w:rPr>
        <w:t>vel</w:t>
      </w:r>
      <w:proofErr w:type="spellEnd"/>
      <w:r w:rsidRPr="007355A8">
        <w:rPr>
          <w:i/>
          <w:lang w:val="it-IT"/>
        </w:rPr>
        <w:t xml:space="preserve"> </w:t>
      </w:r>
      <w:proofErr w:type="spellStart"/>
      <w:r w:rsidRPr="007355A8">
        <w:rPr>
          <w:i/>
          <w:lang w:val="it-IT"/>
        </w:rPr>
        <w:t>instabilis</w:t>
      </w:r>
      <w:proofErr w:type="spellEnd"/>
      <w:r w:rsidRPr="007355A8">
        <w:rPr>
          <w:i/>
          <w:lang w:val="it-IT"/>
        </w:rPr>
        <w:t xml:space="preserve"> crebro lascivia </w:t>
      </w:r>
      <w:proofErr w:type="spellStart"/>
      <w:r w:rsidRPr="007355A8">
        <w:rPr>
          <w:i/>
          <w:lang w:val="it-IT"/>
        </w:rPr>
        <w:t>pingit</w:t>
      </w:r>
      <w:proofErr w:type="spellEnd"/>
      <w:r w:rsidRPr="007355A8">
        <w:rPr>
          <w:i/>
          <w:lang w:val="it-IT"/>
        </w:rPr>
        <w:t>;</w:t>
      </w:r>
      <w:r w:rsidRPr="007355A8">
        <w:rPr>
          <w:i/>
          <w:lang w:val="en-GB"/>
        </w:rPr>
        <w:t xml:space="preserve"> / </w:t>
      </w:r>
      <w:proofErr w:type="spellStart"/>
      <w:r w:rsidRPr="007355A8">
        <w:rPr>
          <w:i/>
          <w:lang w:val="it-IT"/>
        </w:rPr>
        <w:t>Sed</w:t>
      </w:r>
      <w:proofErr w:type="spellEnd"/>
      <w:r w:rsidRPr="007355A8">
        <w:rPr>
          <w:i/>
          <w:lang w:val="it-IT"/>
        </w:rPr>
        <w:t xml:space="preserve"> </w:t>
      </w:r>
      <w:proofErr w:type="spellStart"/>
      <w:r w:rsidRPr="007355A8">
        <w:rPr>
          <w:i/>
          <w:lang w:val="it-IT"/>
        </w:rPr>
        <w:t>multum</w:t>
      </w:r>
      <w:proofErr w:type="spellEnd"/>
      <w:r w:rsidRPr="007355A8">
        <w:rPr>
          <w:i/>
          <w:lang w:val="it-IT"/>
        </w:rPr>
        <w:t xml:space="preserve"> </w:t>
      </w:r>
      <w:proofErr w:type="spellStart"/>
      <w:r w:rsidRPr="007355A8">
        <w:rPr>
          <w:i/>
          <w:lang w:val="it-IT"/>
        </w:rPr>
        <w:t>gravitatis</w:t>
      </w:r>
      <w:proofErr w:type="spellEnd"/>
      <w:r w:rsidRPr="007355A8">
        <w:rPr>
          <w:i/>
          <w:lang w:val="it-IT"/>
        </w:rPr>
        <w:t xml:space="preserve"> </w:t>
      </w:r>
      <w:proofErr w:type="spellStart"/>
      <w:r w:rsidRPr="007355A8">
        <w:rPr>
          <w:i/>
          <w:lang w:val="it-IT"/>
        </w:rPr>
        <w:t>habens</w:t>
      </w:r>
      <w:proofErr w:type="spellEnd"/>
      <w:r w:rsidRPr="007355A8">
        <w:rPr>
          <w:i/>
          <w:lang w:val="it-IT"/>
        </w:rPr>
        <w:t xml:space="preserve"> </w:t>
      </w:r>
      <w:proofErr w:type="spellStart"/>
      <w:r w:rsidRPr="007355A8">
        <w:rPr>
          <w:i/>
          <w:lang w:val="it-IT"/>
        </w:rPr>
        <w:t>vultumque</w:t>
      </w:r>
      <w:proofErr w:type="spellEnd"/>
      <w:r w:rsidRPr="007355A8">
        <w:rPr>
          <w:i/>
          <w:lang w:val="it-IT"/>
        </w:rPr>
        <w:t xml:space="preserve"> modeste</w:t>
      </w:r>
      <w:r w:rsidRPr="007355A8">
        <w:rPr>
          <w:i/>
          <w:lang w:val="en-GB"/>
        </w:rPr>
        <w:t xml:space="preserve"> / </w:t>
      </w:r>
      <w:proofErr w:type="spellStart"/>
      <w:r w:rsidRPr="007355A8">
        <w:rPr>
          <w:i/>
          <w:lang w:val="it-IT"/>
        </w:rPr>
        <w:t>Inscibens</w:t>
      </w:r>
      <w:proofErr w:type="spellEnd"/>
      <w:r w:rsidRPr="007355A8">
        <w:rPr>
          <w:i/>
          <w:lang w:val="it-IT"/>
        </w:rPr>
        <w:t xml:space="preserve">, nullo </w:t>
      </w:r>
      <w:proofErr w:type="spellStart"/>
      <w:r w:rsidRPr="007355A8">
        <w:rPr>
          <w:i/>
          <w:lang w:val="it-IT"/>
        </w:rPr>
        <w:t>deformans</w:t>
      </w:r>
      <w:proofErr w:type="spellEnd"/>
      <w:r w:rsidRPr="007355A8">
        <w:rPr>
          <w:i/>
          <w:lang w:val="it-IT"/>
        </w:rPr>
        <w:t xml:space="preserve"> ora cachino,</w:t>
      </w:r>
      <w:r w:rsidRPr="007355A8">
        <w:rPr>
          <w:i/>
          <w:lang w:val="en-GB"/>
        </w:rPr>
        <w:t xml:space="preserve"> / </w:t>
      </w:r>
      <w:proofErr w:type="spellStart"/>
      <w:r w:rsidRPr="007355A8">
        <w:rPr>
          <w:i/>
          <w:lang w:val="it-IT"/>
        </w:rPr>
        <w:t>Talis</w:t>
      </w:r>
      <w:proofErr w:type="spellEnd"/>
      <w:r w:rsidRPr="007355A8">
        <w:rPr>
          <w:i/>
          <w:lang w:val="it-IT"/>
        </w:rPr>
        <w:t xml:space="preserve"> </w:t>
      </w:r>
      <w:proofErr w:type="spellStart"/>
      <w:r w:rsidRPr="007355A8">
        <w:rPr>
          <w:i/>
          <w:lang w:val="it-IT"/>
        </w:rPr>
        <w:t>erat</w:t>
      </w:r>
      <w:proofErr w:type="spellEnd"/>
      <w:r w:rsidRPr="007355A8">
        <w:rPr>
          <w:i/>
          <w:lang w:val="it-IT"/>
        </w:rPr>
        <w:t xml:space="preserve"> </w:t>
      </w:r>
      <w:proofErr w:type="spellStart"/>
      <w:r w:rsidRPr="007355A8">
        <w:rPr>
          <w:i/>
          <w:lang w:val="it-IT"/>
        </w:rPr>
        <w:t>risus</w:t>
      </w:r>
      <w:proofErr w:type="spellEnd"/>
      <w:r w:rsidRPr="007355A8">
        <w:rPr>
          <w:i/>
          <w:lang w:val="it-IT"/>
        </w:rPr>
        <w:t xml:space="preserve">, nullo </w:t>
      </w:r>
      <w:proofErr w:type="spellStart"/>
      <w:r w:rsidRPr="007355A8">
        <w:rPr>
          <w:i/>
          <w:lang w:val="it-IT"/>
        </w:rPr>
        <w:t>corruptus</w:t>
      </w:r>
      <w:proofErr w:type="spellEnd"/>
      <w:r w:rsidRPr="007355A8">
        <w:rPr>
          <w:i/>
          <w:lang w:val="it-IT"/>
        </w:rPr>
        <w:t xml:space="preserve"> </w:t>
      </w:r>
      <w:proofErr w:type="spellStart"/>
      <w:r w:rsidRPr="007355A8">
        <w:rPr>
          <w:i/>
          <w:lang w:val="it-IT"/>
        </w:rPr>
        <w:t>abusu</w:t>
      </w:r>
      <w:proofErr w:type="spellEnd"/>
      <w:r w:rsidRPr="007355A8">
        <w:rPr>
          <w:i/>
          <w:lang w:val="it-IT"/>
        </w:rPr>
        <w:t>,</w:t>
      </w:r>
      <w:r w:rsidRPr="007355A8">
        <w:rPr>
          <w:i/>
          <w:lang w:val="en-GB"/>
        </w:rPr>
        <w:t xml:space="preserve"> /</w:t>
      </w:r>
      <w:proofErr w:type="spellStart"/>
      <w:r w:rsidRPr="007355A8">
        <w:rPr>
          <w:i/>
          <w:lang w:val="it-IT"/>
        </w:rPr>
        <w:t>Qualem</w:t>
      </w:r>
      <w:proofErr w:type="spellEnd"/>
      <w:r w:rsidRPr="007355A8">
        <w:rPr>
          <w:i/>
          <w:lang w:val="it-IT"/>
        </w:rPr>
        <w:t xml:space="preserve"> causa, locus, </w:t>
      </w:r>
      <w:proofErr w:type="spellStart"/>
      <w:r w:rsidRPr="007355A8">
        <w:rPr>
          <w:i/>
          <w:lang w:val="it-IT"/>
        </w:rPr>
        <w:t>tempus</w:t>
      </w:r>
      <w:proofErr w:type="spellEnd"/>
      <w:r w:rsidRPr="007355A8">
        <w:rPr>
          <w:i/>
          <w:lang w:val="it-IT"/>
        </w:rPr>
        <w:t xml:space="preserve">, persona </w:t>
      </w:r>
      <w:proofErr w:type="spellStart"/>
      <w:r w:rsidRPr="007355A8">
        <w:rPr>
          <w:i/>
          <w:lang w:val="it-IT"/>
        </w:rPr>
        <w:t>requirit</w:t>
      </w:r>
      <w:proofErr w:type="spellEnd"/>
      <w:r w:rsidRPr="00E8273E">
        <w:rPr>
          <w:lang w:val="it-IT"/>
        </w:rPr>
        <w:t>.</w:t>
      </w:r>
      <w:r>
        <w:rPr>
          <w:lang w:val="en-GB"/>
        </w:rPr>
        <w:t xml:space="preserve"> Laughter is here but is not the one that spiteful mockery often begets out of time, that </w:t>
      </w:r>
      <w:proofErr w:type="spellStart"/>
      <w:r>
        <w:rPr>
          <w:lang w:val="en-GB"/>
        </w:rPr>
        <w:t>anvy</w:t>
      </w:r>
      <w:proofErr w:type="spellEnd"/>
      <w:r>
        <w:rPr>
          <w:lang w:val="en-GB"/>
        </w:rPr>
        <w:t xml:space="preserve"> of soul fathers, that the expression of false love manifests to the world or fickle wantonness so often displays. This was the laughter that shows </w:t>
      </w:r>
      <w:proofErr w:type="spellStart"/>
      <w:r>
        <w:rPr>
          <w:lang w:val="en-GB"/>
        </w:rPr>
        <w:t>deeb</w:t>
      </w:r>
      <w:proofErr w:type="spellEnd"/>
      <w:r>
        <w:rPr>
          <w:lang w:val="en-GB"/>
        </w:rPr>
        <w:t xml:space="preserve"> </w:t>
      </w:r>
      <w:proofErr w:type="spellStart"/>
      <w:r>
        <w:rPr>
          <w:lang w:val="en-GB"/>
        </w:rPr>
        <w:t>siousness</w:t>
      </w:r>
      <w:proofErr w:type="spellEnd"/>
      <w:r>
        <w:rPr>
          <w:lang w:val="en-GB"/>
        </w:rPr>
        <w:t>, displays itself on the face with restraint, distorts the mouth by no cachinnation, is marred by no misuse but is such as subject, place, time and person call for.</w:t>
      </w:r>
    </w:p>
  </w:footnote>
  <w:footnote w:id="5">
    <w:p w14:paraId="544DCDB0" w14:textId="77777777" w:rsidR="003C4A8A" w:rsidRDefault="003C4A8A" w:rsidP="003C4A8A">
      <w:pPr>
        <w:pStyle w:val="Funotentext"/>
        <w:rPr>
          <w:lang w:val="en-GB"/>
        </w:rPr>
      </w:pPr>
      <w:r>
        <w:rPr>
          <w:rStyle w:val="Funotenzeichen"/>
        </w:rPr>
        <w:footnoteRef/>
      </w:r>
      <w:r>
        <w:rPr>
          <w:lang w:val="en-GB"/>
        </w:rPr>
        <w:t xml:space="preserve"> </w:t>
      </w:r>
      <w:proofErr w:type="spellStart"/>
      <w:r>
        <w:rPr>
          <w:lang w:val="en-GB"/>
        </w:rPr>
        <w:t>Hildemar</w:t>
      </w:r>
      <w:proofErr w:type="spellEnd"/>
      <w:r>
        <w:rPr>
          <w:lang w:val="en-GB"/>
        </w:rPr>
        <w:t xml:space="preserve">, </w:t>
      </w:r>
      <w:proofErr w:type="spellStart"/>
      <w:r>
        <w:rPr>
          <w:lang w:val="en-GB"/>
        </w:rPr>
        <w:t>Expositio</w:t>
      </w:r>
      <w:proofErr w:type="spellEnd"/>
      <w:r>
        <w:rPr>
          <w:lang w:val="en-GB"/>
        </w:rPr>
        <w:t xml:space="preserve"> ad c. 4, 172. </w:t>
      </w:r>
      <w:proofErr w:type="spellStart"/>
      <w:r>
        <w:rPr>
          <w:lang w:val="en-GB"/>
        </w:rPr>
        <w:t>Vgl</w:t>
      </w:r>
      <w:proofErr w:type="spellEnd"/>
      <w:r>
        <w:rPr>
          <w:lang w:val="en-GB"/>
        </w:rPr>
        <w:t xml:space="preserve">. </w:t>
      </w:r>
      <w:proofErr w:type="spellStart"/>
      <w:r>
        <w:rPr>
          <w:lang w:val="en-GB"/>
        </w:rPr>
        <w:t>noch</w:t>
      </w:r>
      <w:proofErr w:type="spellEnd"/>
      <w:r>
        <w:rPr>
          <w:lang w:val="en-GB"/>
        </w:rPr>
        <w:t xml:space="preserve"> </w:t>
      </w:r>
      <w:proofErr w:type="spellStart"/>
      <w:r>
        <w:rPr>
          <w:lang w:val="en-GB"/>
        </w:rPr>
        <w:t>einmal</w:t>
      </w:r>
      <w:proofErr w:type="spellEnd"/>
      <w:r>
        <w:rPr>
          <w:lang w:val="en-GB"/>
        </w:rPr>
        <w:t xml:space="preserve"> ad 7 (59), 260f.: </w:t>
      </w:r>
      <w:r w:rsidRPr="007355A8">
        <w:rPr>
          <w:i/>
          <w:lang w:val="en-GB"/>
        </w:rPr>
        <w:t xml:space="preserve">Non dicit, </w:t>
      </w:r>
      <w:proofErr w:type="spellStart"/>
      <w:r w:rsidRPr="007355A8">
        <w:rPr>
          <w:i/>
          <w:lang w:val="en-GB"/>
        </w:rPr>
        <w:t>ut</w:t>
      </w:r>
      <w:proofErr w:type="spellEnd"/>
      <w:r w:rsidRPr="007355A8">
        <w:rPr>
          <w:i/>
          <w:lang w:val="en-GB"/>
        </w:rPr>
        <w:t xml:space="preserve"> </w:t>
      </w:r>
      <w:proofErr w:type="spellStart"/>
      <w:r w:rsidRPr="007355A8">
        <w:rPr>
          <w:i/>
          <w:lang w:val="en-GB"/>
        </w:rPr>
        <w:t>monachus</w:t>
      </w:r>
      <w:proofErr w:type="spellEnd"/>
      <w:r w:rsidRPr="007355A8">
        <w:rPr>
          <w:i/>
          <w:lang w:val="en-GB"/>
        </w:rPr>
        <w:t xml:space="preserve"> </w:t>
      </w:r>
      <w:proofErr w:type="spellStart"/>
      <w:r w:rsidRPr="007355A8">
        <w:rPr>
          <w:i/>
          <w:lang w:val="en-GB"/>
        </w:rPr>
        <w:t>numquam</w:t>
      </w:r>
      <w:proofErr w:type="spellEnd"/>
      <w:r w:rsidRPr="007355A8">
        <w:rPr>
          <w:i/>
          <w:lang w:val="en-GB"/>
        </w:rPr>
        <w:t xml:space="preserve"> </w:t>
      </w:r>
      <w:proofErr w:type="spellStart"/>
      <w:r w:rsidRPr="007355A8">
        <w:rPr>
          <w:i/>
          <w:lang w:val="en-GB"/>
        </w:rPr>
        <w:t>rideat</w:t>
      </w:r>
      <w:proofErr w:type="spellEnd"/>
      <w:r w:rsidRPr="007355A8">
        <w:rPr>
          <w:i/>
          <w:lang w:val="en-GB"/>
        </w:rPr>
        <w:t xml:space="preserve">, </w:t>
      </w:r>
      <w:proofErr w:type="spellStart"/>
      <w:r w:rsidRPr="007355A8">
        <w:rPr>
          <w:i/>
          <w:lang w:val="en-GB"/>
        </w:rPr>
        <w:t>sed</w:t>
      </w:r>
      <w:proofErr w:type="spellEnd"/>
      <w:r w:rsidRPr="007355A8">
        <w:rPr>
          <w:i/>
          <w:lang w:val="en-GB"/>
        </w:rPr>
        <w:t xml:space="preserve"> non sit facilis ac </w:t>
      </w:r>
      <w:proofErr w:type="spellStart"/>
      <w:r w:rsidRPr="007355A8">
        <w:rPr>
          <w:i/>
          <w:lang w:val="en-GB"/>
        </w:rPr>
        <w:t>promptus</w:t>
      </w:r>
      <w:proofErr w:type="spellEnd"/>
      <w:r w:rsidRPr="007355A8">
        <w:rPr>
          <w:i/>
          <w:lang w:val="en-GB"/>
        </w:rPr>
        <w:t xml:space="preserve"> in </w:t>
      </w:r>
      <w:proofErr w:type="spellStart"/>
      <w:r w:rsidRPr="007355A8">
        <w:rPr>
          <w:i/>
          <w:lang w:val="en-GB"/>
        </w:rPr>
        <w:t>risu</w:t>
      </w:r>
      <w:proofErr w:type="spellEnd"/>
      <w:r w:rsidRPr="007355A8">
        <w:rPr>
          <w:i/>
          <w:lang w:val="en-GB"/>
        </w:rPr>
        <w:t xml:space="preserve">, </w:t>
      </w:r>
      <w:proofErr w:type="spellStart"/>
      <w:r w:rsidRPr="007355A8">
        <w:rPr>
          <w:i/>
          <w:lang w:val="en-GB"/>
        </w:rPr>
        <w:t>quia</w:t>
      </w:r>
      <w:proofErr w:type="spellEnd"/>
      <w:r w:rsidRPr="007355A8">
        <w:rPr>
          <w:i/>
          <w:lang w:val="en-GB"/>
        </w:rPr>
        <w:t xml:space="preserve"> scriptura </w:t>
      </w:r>
      <w:proofErr w:type="spellStart"/>
      <w:r w:rsidRPr="007355A8">
        <w:rPr>
          <w:i/>
          <w:lang w:val="en-GB"/>
        </w:rPr>
        <w:t>divina</w:t>
      </w:r>
      <w:proofErr w:type="spellEnd"/>
      <w:r w:rsidRPr="007355A8">
        <w:rPr>
          <w:i/>
          <w:lang w:val="en-GB"/>
        </w:rPr>
        <w:t xml:space="preserve"> non </w:t>
      </w:r>
      <w:proofErr w:type="spellStart"/>
      <w:r w:rsidRPr="007355A8">
        <w:rPr>
          <w:i/>
          <w:lang w:val="en-GB"/>
        </w:rPr>
        <w:t>prohibet</w:t>
      </w:r>
      <w:proofErr w:type="spellEnd"/>
      <w:r w:rsidRPr="007355A8">
        <w:rPr>
          <w:i/>
          <w:lang w:val="en-GB"/>
        </w:rPr>
        <w:t xml:space="preserve">, hominem </w:t>
      </w:r>
      <w:proofErr w:type="spellStart"/>
      <w:r w:rsidRPr="007355A8">
        <w:rPr>
          <w:i/>
          <w:lang w:val="en-GB"/>
        </w:rPr>
        <w:t>hilaritatem</w:t>
      </w:r>
      <w:proofErr w:type="spellEnd"/>
      <w:r w:rsidRPr="007355A8">
        <w:rPr>
          <w:i/>
          <w:lang w:val="en-GB"/>
        </w:rPr>
        <w:t xml:space="preserve"> </w:t>
      </w:r>
      <w:proofErr w:type="spellStart"/>
      <w:r w:rsidRPr="007355A8">
        <w:rPr>
          <w:i/>
          <w:lang w:val="en-GB"/>
        </w:rPr>
        <w:t>spiritalem</w:t>
      </w:r>
      <w:proofErr w:type="spellEnd"/>
      <w:r w:rsidRPr="007355A8">
        <w:rPr>
          <w:i/>
          <w:lang w:val="en-GB"/>
        </w:rPr>
        <w:t xml:space="preserve"> habere … apud Deum magnus </w:t>
      </w:r>
      <w:proofErr w:type="spellStart"/>
      <w:r w:rsidRPr="007355A8">
        <w:rPr>
          <w:i/>
          <w:lang w:val="en-GB"/>
        </w:rPr>
        <w:t>risus</w:t>
      </w:r>
      <w:proofErr w:type="spellEnd"/>
      <w:r w:rsidRPr="007355A8">
        <w:rPr>
          <w:i/>
          <w:lang w:val="en-GB"/>
        </w:rPr>
        <w:t xml:space="preserve"> est</w:t>
      </w:r>
      <w:r w:rsidRPr="00755758">
        <w:rPr>
          <w:lang w:val="en-GB"/>
        </w:rPr>
        <w:t>.</w:t>
      </w:r>
      <w:r>
        <w:rPr>
          <w:lang w:val="en-GB"/>
        </w:rPr>
        <w:t xml:space="preserve"> </w:t>
      </w:r>
    </w:p>
  </w:footnote>
  <w:footnote w:id="6">
    <w:p w14:paraId="47D8B5B3" w14:textId="77777777" w:rsidR="003C4A8A" w:rsidRPr="003C4A8A" w:rsidRDefault="003C4A8A" w:rsidP="003C4A8A">
      <w:pPr>
        <w:pStyle w:val="Funotentext"/>
        <w:rPr>
          <w:lang w:val="en-US"/>
        </w:rPr>
      </w:pPr>
      <w:r>
        <w:rPr>
          <w:rStyle w:val="Funotenzeichen"/>
        </w:rPr>
        <w:footnoteRef/>
      </w:r>
      <w:r w:rsidRPr="003C4A8A">
        <w:rPr>
          <w:lang w:val="en-US"/>
        </w:rPr>
        <w:t xml:space="preserve"> Vita </w:t>
      </w:r>
      <w:proofErr w:type="spellStart"/>
      <w:r w:rsidRPr="003C4A8A">
        <w:rPr>
          <w:lang w:val="en-US"/>
        </w:rPr>
        <w:t>Caesarii</w:t>
      </w:r>
      <w:proofErr w:type="spellEnd"/>
      <w:r w:rsidRPr="003C4A8A">
        <w:rPr>
          <w:lang w:val="en-US"/>
        </w:rPr>
        <w:t xml:space="preserve"> I 46, 474. </w:t>
      </w:r>
    </w:p>
  </w:footnote>
  <w:footnote w:id="7">
    <w:p w14:paraId="5FBF68EB" w14:textId="77777777" w:rsidR="003C4A8A" w:rsidRDefault="003C4A8A" w:rsidP="003C4A8A">
      <w:pPr>
        <w:pStyle w:val="Funotentext"/>
        <w:rPr>
          <w:lang w:val="fr-FR"/>
        </w:rPr>
      </w:pPr>
      <w:r>
        <w:rPr>
          <w:rStyle w:val="Funotenzeichen"/>
        </w:rPr>
        <w:footnoteRef/>
      </w:r>
      <w:r>
        <w:rPr>
          <w:lang w:val="en-GB"/>
        </w:rPr>
        <w:t xml:space="preserve"> Nonnberger </w:t>
      </w:r>
      <w:proofErr w:type="spellStart"/>
      <w:r>
        <w:rPr>
          <w:lang w:val="en-GB"/>
        </w:rPr>
        <w:t>Gebetbuch</w:t>
      </w:r>
      <w:proofErr w:type="spellEnd"/>
      <w:r>
        <w:rPr>
          <w:lang w:val="en-GB"/>
        </w:rPr>
        <w:t xml:space="preserve"> Clm. 14848, fol. 4v: </w:t>
      </w:r>
      <w:r w:rsidRPr="007355A8">
        <w:rPr>
          <w:i/>
          <w:lang w:val="en-GB"/>
        </w:rPr>
        <w:t xml:space="preserve">O domine </w:t>
      </w:r>
      <w:proofErr w:type="spellStart"/>
      <w:r w:rsidRPr="007355A8">
        <w:rPr>
          <w:i/>
          <w:lang w:val="en-GB"/>
        </w:rPr>
        <w:t>arridens</w:t>
      </w:r>
      <w:proofErr w:type="spellEnd"/>
      <w:r w:rsidRPr="007355A8">
        <w:rPr>
          <w:i/>
          <w:lang w:val="en-GB"/>
        </w:rPr>
        <w:t xml:space="preserve"> </w:t>
      </w:r>
      <w:proofErr w:type="spellStart"/>
      <w:r w:rsidRPr="007355A8">
        <w:rPr>
          <w:i/>
          <w:lang w:val="en-GB"/>
        </w:rPr>
        <w:t>matri</w:t>
      </w:r>
      <w:proofErr w:type="spellEnd"/>
      <w:r w:rsidRPr="007355A8">
        <w:rPr>
          <w:i/>
          <w:lang w:val="en-GB"/>
        </w:rPr>
        <w:t xml:space="preserve"> per </w:t>
      </w:r>
      <w:proofErr w:type="spellStart"/>
      <w:r w:rsidRPr="007355A8">
        <w:rPr>
          <w:i/>
          <w:lang w:val="en-GB"/>
        </w:rPr>
        <w:t>risum</w:t>
      </w:r>
      <w:proofErr w:type="spellEnd"/>
      <w:r w:rsidRPr="007355A8">
        <w:rPr>
          <w:i/>
          <w:lang w:val="en-GB"/>
        </w:rPr>
        <w:t xml:space="preserve"> </w:t>
      </w:r>
      <w:proofErr w:type="spellStart"/>
      <w:r w:rsidRPr="007355A8">
        <w:rPr>
          <w:i/>
          <w:lang w:val="en-GB"/>
        </w:rPr>
        <w:t>illum</w:t>
      </w:r>
      <w:proofErr w:type="spellEnd"/>
      <w:r w:rsidRPr="007355A8">
        <w:rPr>
          <w:i/>
          <w:lang w:val="en-GB"/>
        </w:rPr>
        <w:t xml:space="preserve"> concede mihi </w:t>
      </w:r>
      <w:proofErr w:type="spellStart"/>
      <w:r w:rsidRPr="007355A8">
        <w:rPr>
          <w:i/>
          <w:lang w:val="en-GB"/>
        </w:rPr>
        <w:t>obsecro</w:t>
      </w:r>
      <w:proofErr w:type="spellEnd"/>
      <w:r w:rsidRPr="007355A8">
        <w:rPr>
          <w:i/>
          <w:lang w:val="en-GB"/>
        </w:rPr>
        <w:t xml:space="preserve"> </w:t>
      </w:r>
      <w:proofErr w:type="spellStart"/>
      <w:r w:rsidRPr="007355A8">
        <w:rPr>
          <w:i/>
          <w:lang w:val="en-GB"/>
        </w:rPr>
        <w:t>congaudere</w:t>
      </w:r>
      <w:proofErr w:type="spellEnd"/>
      <w:r w:rsidRPr="007355A8">
        <w:rPr>
          <w:i/>
          <w:lang w:val="en-GB"/>
        </w:rPr>
        <w:t xml:space="preserve"> </w:t>
      </w:r>
      <w:proofErr w:type="spellStart"/>
      <w:r w:rsidRPr="007355A8">
        <w:rPr>
          <w:i/>
          <w:lang w:val="en-GB"/>
        </w:rPr>
        <w:t>tuæ</w:t>
      </w:r>
      <w:proofErr w:type="spellEnd"/>
      <w:r w:rsidRPr="007355A8">
        <w:rPr>
          <w:i/>
          <w:lang w:val="en-GB"/>
        </w:rPr>
        <w:t xml:space="preserve"> </w:t>
      </w:r>
      <w:proofErr w:type="spellStart"/>
      <w:r w:rsidRPr="007355A8">
        <w:rPr>
          <w:i/>
          <w:lang w:val="en-GB"/>
        </w:rPr>
        <w:t>perpetuæ</w:t>
      </w:r>
      <w:proofErr w:type="spellEnd"/>
      <w:r w:rsidRPr="007355A8">
        <w:rPr>
          <w:i/>
          <w:lang w:val="en-GB"/>
        </w:rPr>
        <w:t xml:space="preserve"> </w:t>
      </w:r>
      <w:proofErr w:type="spellStart"/>
      <w:r w:rsidRPr="007355A8">
        <w:rPr>
          <w:i/>
          <w:lang w:val="en-GB"/>
        </w:rPr>
        <w:t>iocunditati</w:t>
      </w:r>
      <w:proofErr w:type="spellEnd"/>
      <w:r w:rsidRPr="00851AC3">
        <w:rPr>
          <w:lang w:val="en-GB"/>
        </w:rPr>
        <w:t>.</w:t>
      </w:r>
      <w:r>
        <w:rPr>
          <w:lang w:val="en-GB"/>
        </w:rPr>
        <w:t xml:space="preserve"> </w:t>
      </w:r>
      <w:r w:rsidRPr="003C4A8A">
        <w:rPr>
          <w:lang w:val="en-US"/>
        </w:rPr>
        <w:t xml:space="preserve">Aber </w:t>
      </w:r>
      <w:proofErr w:type="spellStart"/>
      <w:r w:rsidRPr="003C4A8A">
        <w:rPr>
          <w:lang w:val="en-US"/>
        </w:rPr>
        <w:t>Hildebert</w:t>
      </w:r>
      <w:proofErr w:type="spellEnd"/>
      <w:r w:rsidRPr="003C4A8A">
        <w:rPr>
          <w:lang w:val="en-US"/>
        </w:rPr>
        <w:t xml:space="preserve"> von </w:t>
      </w:r>
      <w:proofErr w:type="spellStart"/>
      <w:r w:rsidRPr="003C4A8A">
        <w:rPr>
          <w:lang w:val="en-US"/>
        </w:rPr>
        <w:t>Lavardin</w:t>
      </w:r>
      <w:proofErr w:type="spellEnd"/>
      <w:r w:rsidRPr="003C4A8A">
        <w:rPr>
          <w:lang w:val="en-US"/>
        </w:rPr>
        <w:t xml:space="preserve">, </w:t>
      </w:r>
      <w:proofErr w:type="spellStart"/>
      <w:r w:rsidRPr="003C4A8A">
        <w:rPr>
          <w:lang w:val="en-US"/>
        </w:rPr>
        <w:t>Sermones</w:t>
      </w:r>
      <w:proofErr w:type="spellEnd"/>
      <w:r w:rsidRPr="003C4A8A">
        <w:rPr>
          <w:lang w:val="en-US"/>
        </w:rPr>
        <w:t xml:space="preserve"> 62, 641: </w:t>
      </w:r>
      <w:proofErr w:type="spellStart"/>
      <w:r w:rsidRPr="003C4A8A">
        <w:rPr>
          <w:i/>
          <w:lang w:val="en-US"/>
        </w:rPr>
        <w:t>Certe</w:t>
      </w:r>
      <w:proofErr w:type="spellEnd"/>
      <w:r w:rsidRPr="003C4A8A">
        <w:rPr>
          <w:i/>
          <w:lang w:val="en-US"/>
        </w:rPr>
        <w:t xml:space="preserve"> Christum </w:t>
      </w:r>
      <w:proofErr w:type="spellStart"/>
      <w:r w:rsidRPr="003C4A8A">
        <w:rPr>
          <w:i/>
          <w:lang w:val="en-US"/>
        </w:rPr>
        <w:t>legi</w:t>
      </w:r>
      <w:proofErr w:type="spellEnd"/>
      <w:r w:rsidRPr="003C4A8A">
        <w:rPr>
          <w:i/>
          <w:lang w:val="en-US"/>
        </w:rPr>
        <w:t xml:space="preserve"> </w:t>
      </w:r>
      <w:proofErr w:type="spellStart"/>
      <w:r w:rsidRPr="003C4A8A">
        <w:rPr>
          <w:i/>
          <w:lang w:val="en-US"/>
        </w:rPr>
        <w:t>doluisse</w:t>
      </w:r>
      <w:proofErr w:type="spellEnd"/>
      <w:r w:rsidRPr="003C4A8A">
        <w:rPr>
          <w:i/>
          <w:lang w:val="en-US"/>
        </w:rPr>
        <w:t xml:space="preserve">, sed </w:t>
      </w:r>
      <w:proofErr w:type="spellStart"/>
      <w:r w:rsidRPr="003C4A8A">
        <w:rPr>
          <w:i/>
          <w:lang w:val="en-US"/>
        </w:rPr>
        <w:t>numquam</w:t>
      </w:r>
      <w:proofErr w:type="spellEnd"/>
      <w:r w:rsidRPr="003C4A8A">
        <w:rPr>
          <w:i/>
          <w:lang w:val="en-US"/>
        </w:rPr>
        <w:t xml:space="preserve"> </w:t>
      </w:r>
      <w:proofErr w:type="spellStart"/>
      <w:r w:rsidRPr="003C4A8A">
        <w:rPr>
          <w:i/>
          <w:lang w:val="en-US"/>
        </w:rPr>
        <w:t>risisse</w:t>
      </w:r>
      <w:proofErr w:type="spellEnd"/>
      <w:r w:rsidRPr="003C4A8A">
        <w:rPr>
          <w:i/>
          <w:lang w:val="en-US"/>
        </w:rPr>
        <w:t xml:space="preserve">. </w:t>
      </w:r>
      <w:r w:rsidRPr="007355A8">
        <w:rPr>
          <w:i/>
          <w:lang w:val="fr-FR"/>
        </w:rPr>
        <w:t xml:space="preserve">Fuit </w:t>
      </w:r>
      <w:proofErr w:type="spellStart"/>
      <w:r w:rsidRPr="007355A8">
        <w:rPr>
          <w:i/>
          <w:lang w:val="fr-FR"/>
        </w:rPr>
        <w:t>enim</w:t>
      </w:r>
      <w:proofErr w:type="spellEnd"/>
      <w:r w:rsidRPr="007355A8">
        <w:rPr>
          <w:i/>
          <w:lang w:val="fr-FR"/>
        </w:rPr>
        <w:t xml:space="preserve"> </w:t>
      </w:r>
      <w:proofErr w:type="spellStart"/>
      <w:r w:rsidRPr="007355A8">
        <w:rPr>
          <w:i/>
          <w:lang w:val="fr-FR"/>
        </w:rPr>
        <w:t>vir</w:t>
      </w:r>
      <w:proofErr w:type="spellEnd"/>
      <w:r w:rsidRPr="007355A8">
        <w:rPr>
          <w:i/>
          <w:lang w:val="fr-FR"/>
        </w:rPr>
        <w:t xml:space="preserve"> doloris, non </w:t>
      </w:r>
      <w:proofErr w:type="spellStart"/>
      <w:r w:rsidRPr="007355A8">
        <w:rPr>
          <w:i/>
          <w:lang w:val="fr-FR"/>
        </w:rPr>
        <w:t>cachinosus</w:t>
      </w:r>
      <w:proofErr w:type="spellEnd"/>
      <w:r>
        <w:rPr>
          <w:lang w:val="fr-FR"/>
        </w:rPr>
        <w:t xml:space="preserve">. </w:t>
      </w:r>
    </w:p>
  </w:footnote>
  <w:footnote w:id="8">
    <w:p w14:paraId="4D28F7DB" w14:textId="77777777" w:rsidR="003C4A8A" w:rsidRDefault="003C4A8A" w:rsidP="003C4A8A">
      <w:pPr>
        <w:pStyle w:val="Funotentext"/>
      </w:pPr>
      <w:r>
        <w:rPr>
          <w:rStyle w:val="Funotenzeichen"/>
        </w:rPr>
        <w:footnoteRef/>
      </w:r>
      <w:r>
        <w:t xml:space="preserve"> Vgl. auch </w:t>
      </w:r>
      <w:proofErr w:type="spellStart"/>
      <w:r>
        <w:t>Ps</w:t>
      </w:r>
      <w:proofErr w:type="spellEnd"/>
      <w:r>
        <w:t xml:space="preserve"> 44, 7 </w:t>
      </w:r>
      <w:proofErr w:type="spellStart"/>
      <w:r>
        <w:rPr>
          <w:i/>
        </w:rPr>
        <w:t>propterea</w:t>
      </w:r>
      <w:proofErr w:type="spellEnd"/>
      <w:r>
        <w:rPr>
          <w:i/>
        </w:rPr>
        <w:t xml:space="preserve"> </w:t>
      </w:r>
      <w:proofErr w:type="spellStart"/>
      <w:r>
        <w:rPr>
          <w:i/>
        </w:rPr>
        <w:t>unxit</w:t>
      </w:r>
      <w:proofErr w:type="spellEnd"/>
      <w:r>
        <w:rPr>
          <w:i/>
        </w:rPr>
        <w:t xml:space="preserve"> </w:t>
      </w:r>
      <w:proofErr w:type="spellStart"/>
      <w:r>
        <w:rPr>
          <w:i/>
        </w:rPr>
        <w:t>te</w:t>
      </w:r>
      <w:proofErr w:type="spellEnd"/>
      <w:r>
        <w:rPr>
          <w:i/>
        </w:rPr>
        <w:t xml:space="preserve"> Deus, Deus </w:t>
      </w:r>
      <w:proofErr w:type="spellStart"/>
      <w:r>
        <w:rPr>
          <w:i/>
        </w:rPr>
        <w:t>tuus</w:t>
      </w:r>
      <w:proofErr w:type="spellEnd"/>
      <w:r>
        <w:rPr>
          <w:i/>
        </w:rPr>
        <w:t xml:space="preserve"> </w:t>
      </w:r>
      <w:proofErr w:type="spellStart"/>
      <w:r>
        <w:rPr>
          <w:i/>
        </w:rPr>
        <w:t>oleo</w:t>
      </w:r>
      <w:proofErr w:type="spellEnd"/>
      <w:r>
        <w:rPr>
          <w:i/>
        </w:rPr>
        <w:t xml:space="preserve"> </w:t>
      </w:r>
      <w:proofErr w:type="spellStart"/>
      <w:r>
        <w:rPr>
          <w:i/>
        </w:rPr>
        <w:t>laetitiae</w:t>
      </w:r>
      <w:proofErr w:type="spellEnd"/>
      <w:r>
        <w:t xml:space="preserve">, was Isidor, De </w:t>
      </w:r>
      <w:proofErr w:type="spellStart"/>
      <w:r>
        <w:t>fide</w:t>
      </w:r>
      <w:proofErr w:type="spellEnd"/>
      <w:r>
        <w:t xml:space="preserve"> </w:t>
      </w:r>
      <w:proofErr w:type="spellStart"/>
      <w:r>
        <w:t>catholica</w:t>
      </w:r>
      <w:proofErr w:type="spellEnd"/>
      <w:r>
        <w:t xml:space="preserve"> 1 XIV 3, 472 mit dem Heiligen Geist in Verbindung bringt. </w:t>
      </w:r>
    </w:p>
  </w:footnote>
  <w:footnote w:id="9">
    <w:p w14:paraId="37B96965" w14:textId="77777777" w:rsidR="003C4A8A" w:rsidRPr="003C4A8A" w:rsidRDefault="003C4A8A" w:rsidP="003C4A8A">
      <w:pPr>
        <w:pStyle w:val="Funotentext"/>
        <w:rPr>
          <w:lang w:val="en-US"/>
        </w:rPr>
      </w:pPr>
      <w:r>
        <w:rPr>
          <w:rStyle w:val="Funotenzeichen"/>
        </w:rPr>
        <w:footnoteRef/>
      </w:r>
      <w:r w:rsidRPr="003C4A8A">
        <w:rPr>
          <w:lang w:val="en-US"/>
        </w:rPr>
        <w:t xml:space="preserve"> Johannes, Cena I 5, 871. </w:t>
      </w:r>
    </w:p>
  </w:footnote>
  <w:footnote w:id="10">
    <w:p w14:paraId="5F0D238D" w14:textId="77777777" w:rsidR="003C4A8A" w:rsidRPr="003C4A8A" w:rsidRDefault="003C4A8A" w:rsidP="003C4A8A">
      <w:pPr>
        <w:pStyle w:val="Funotentext"/>
        <w:rPr>
          <w:lang w:val="en-US"/>
        </w:rPr>
      </w:pPr>
      <w:r>
        <w:rPr>
          <w:rStyle w:val="Funotenzeichen"/>
        </w:rPr>
        <w:footnoteRef/>
      </w:r>
      <w:r w:rsidRPr="003C4A8A">
        <w:rPr>
          <w:lang w:val="en-US"/>
        </w:rPr>
        <w:t xml:space="preserve"> Bernhard von Clairvaux, </w:t>
      </w:r>
      <w:proofErr w:type="spellStart"/>
      <w:r w:rsidRPr="003C4A8A">
        <w:rPr>
          <w:lang w:val="en-US"/>
        </w:rPr>
        <w:t>Sermones</w:t>
      </w:r>
      <w:proofErr w:type="spellEnd"/>
      <w:r w:rsidRPr="003C4A8A">
        <w:rPr>
          <w:lang w:val="en-US"/>
        </w:rPr>
        <w:t xml:space="preserve"> super Cantica 85, 11, VI 642 (314): </w:t>
      </w:r>
      <w:proofErr w:type="spellStart"/>
      <w:r w:rsidRPr="003C4A8A">
        <w:rPr>
          <w:i/>
          <w:lang w:val="en-US"/>
        </w:rPr>
        <w:t>Porro</w:t>
      </w:r>
      <w:proofErr w:type="spellEnd"/>
      <w:r w:rsidRPr="003C4A8A">
        <w:rPr>
          <w:i/>
          <w:lang w:val="en-US"/>
        </w:rPr>
        <w:t xml:space="preserve"> </w:t>
      </w:r>
      <w:proofErr w:type="spellStart"/>
      <w:r w:rsidRPr="003C4A8A">
        <w:rPr>
          <w:i/>
          <w:lang w:val="en-US"/>
        </w:rPr>
        <w:t>effulgentem</w:t>
      </w:r>
      <w:proofErr w:type="spellEnd"/>
      <w:r w:rsidRPr="003C4A8A">
        <w:rPr>
          <w:i/>
          <w:lang w:val="en-US"/>
        </w:rPr>
        <w:t xml:space="preserve"> et </w:t>
      </w:r>
      <w:proofErr w:type="spellStart"/>
      <w:r w:rsidRPr="003C4A8A">
        <w:rPr>
          <w:i/>
          <w:lang w:val="en-US"/>
        </w:rPr>
        <w:t>veluti</w:t>
      </w:r>
      <w:proofErr w:type="spellEnd"/>
      <w:r w:rsidRPr="003C4A8A">
        <w:rPr>
          <w:i/>
          <w:lang w:val="en-US"/>
        </w:rPr>
        <w:t xml:space="preserve"> </w:t>
      </w:r>
      <w:proofErr w:type="spellStart"/>
      <w:r w:rsidRPr="003C4A8A">
        <w:rPr>
          <w:i/>
          <w:lang w:val="en-US"/>
        </w:rPr>
        <w:t>quibusdam</w:t>
      </w:r>
      <w:proofErr w:type="spellEnd"/>
      <w:r w:rsidRPr="003C4A8A">
        <w:rPr>
          <w:i/>
          <w:lang w:val="en-US"/>
        </w:rPr>
        <w:t xml:space="preserve"> </w:t>
      </w:r>
      <w:proofErr w:type="spellStart"/>
      <w:r w:rsidRPr="003C4A8A">
        <w:rPr>
          <w:i/>
          <w:lang w:val="en-US"/>
        </w:rPr>
        <w:t>suis</w:t>
      </w:r>
      <w:proofErr w:type="spellEnd"/>
      <w:r w:rsidRPr="003C4A8A">
        <w:rPr>
          <w:i/>
          <w:lang w:val="en-US"/>
        </w:rPr>
        <w:t xml:space="preserve"> </w:t>
      </w:r>
      <w:proofErr w:type="spellStart"/>
      <w:r w:rsidRPr="003C4A8A">
        <w:rPr>
          <w:i/>
          <w:lang w:val="en-US"/>
        </w:rPr>
        <w:t>radiis</w:t>
      </w:r>
      <w:proofErr w:type="spellEnd"/>
      <w:r w:rsidRPr="003C4A8A">
        <w:rPr>
          <w:i/>
          <w:lang w:val="en-US"/>
        </w:rPr>
        <w:t xml:space="preserve"> </w:t>
      </w:r>
      <w:proofErr w:type="spellStart"/>
      <w:r w:rsidRPr="003C4A8A">
        <w:rPr>
          <w:i/>
          <w:lang w:val="en-US"/>
        </w:rPr>
        <w:t>erumpentem</w:t>
      </w:r>
      <w:proofErr w:type="spellEnd"/>
      <w:r w:rsidRPr="003C4A8A">
        <w:rPr>
          <w:i/>
          <w:lang w:val="en-US"/>
        </w:rPr>
        <w:t xml:space="preserve"> mentis simulacrum corpus </w:t>
      </w:r>
      <w:proofErr w:type="spellStart"/>
      <w:r w:rsidRPr="003C4A8A">
        <w:rPr>
          <w:i/>
          <w:lang w:val="en-US"/>
        </w:rPr>
        <w:t>excipit</w:t>
      </w:r>
      <w:proofErr w:type="spellEnd"/>
      <w:r w:rsidRPr="003C4A8A">
        <w:rPr>
          <w:i/>
          <w:lang w:val="en-US"/>
        </w:rPr>
        <w:t xml:space="preserve">, et </w:t>
      </w:r>
      <w:proofErr w:type="spellStart"/>
      <w:r w:rsidRPr="003C4A8A">
        <w:rPr>
          <w:i/>
          <w:lang w:val="en-US"/>
        </w:rPr>
        <w:t>diffundit</w:t>
      </w:r>
      <w:proofErr w:type="spellEnd"/>
      <w:r w:rsidRPr="003C4A8A">
        <w:rPr>
          <w:i/>
          <w:lang w:val="en-US"/>
        </w:rPr>
        <w:t xml:space="preserve"> per membra et </w:t>
      </w:r>
      <w:proofErr w:type="spellStart"/>
      <w:r w:rsidRPr="003C4A8A">
        <w:rPr>
          <w:i/>
          <w:lang w:val="en-US"/>
        </w:rPr>
        <w:t>sensus</w:t>
      </w:r>
      <w:proofErr w:type="spellEnd"/>
      <w:r w:rsidRPr="003C4A8A">
        <w:rPr>
          <w:i/>
          <w:lang w:val="en-US"/>
        </w:rPr>
        <w:t xml:space="preserve">, quatenus </w:t>
      </w:r>
      <w:proofErr w:type="spellStart"/>
      <w:r w:rsidRPr="003C4A8A">
        <w:rPr>
          <w:i/>
          <w:lang w:val="en-US"/>
        </w:rPr>
        <w:t>omnis</w:t>
      </w:r>
      <w:proofErr w:type="spellEnd"/>
      <w:r w:rsidRPr="003C4A8A">
        <w:rPr>
          <w:i/>
          <w:lang w:val="en-US"/>
        </w:rPr>
        <w:t xml:space="preserve"> </w:t>
      </w:r>
      <w:proofErr w:type="spellStart"/>
      <w:r w:rsidRPr="003C4A8A">
        <w:rPr>
          <w:i/>
          <w:lang w:val="en-US"/>
        </w:rPr>
        <w:t>inde</w:t>
      </w:r>
      <w:proofErr w:type="spellEnd"/>
      <w:r w:rsidRPr="003C4A8A">
        <w:rPr>
          <w:i/>
          <w:lang w:val="en-US"/>
        </w:rPr>
        <w:t xml:space="preserve"> </w:t>
      </w:r>
      <w:proofErr w:type="spellStart"/>
      <w:r w:rsidRPr="003C4A8A">
        <w:rPr>
          <w:i/>
          <w:lang w:val="en-US"/>
        </w:rPr>
        <w:t>reluceat</w:t>
      </w:r>
      <w:proofErr w:type="spellEnd"/>
      <w:r w:rsidRPr="003C4A8A">
        <w:rPr>
          <w:i/>
          <w:lang w:val="en-US"/>
        </w:rPr>
        <w:t xml:space="preserve"> </w:t>
      </w:r>
      <w:proofErr w:type="spellStart"/>
      <w:r w:rsidRPr="003C4A8A">
        <w:rPr>
          <w:i/>
          <w:lang w:val="en-US"/>
        </w:rPr>
        <w:t>actio</w:t>
      </w:r>
      <w:proofErr w:type="spellEnd"/>
      <w:r w:rsidRPr="003C4A8A">
        <w:rPr>
          <w:i/>
          <w:lang w:val="en-US"/>
        </w:rPr>
        <w:t xml:space="preserve">, </w:t>
      </w:r>
      <w:proofErr w:type="spellStart"/>
      <w:r w:rsidRPr="003C4A8A">
        <w:rPr>
          <w:i/>
          <w:lang w:val="en-US"/>
        </w:rPr>
        <w:t>sermo</w:t>
      </w:r>
      <w:proofErr w:type="spellEnd"/>
      <w:r w:rsidRPr="003C4A8A">
        <w:rPr>
          <w:i/>
          <w:lang w:val="en-US"/>
        </w:rPr>
        <w:t xml:space="preserve">, </w:t>
      </w:r>
      <w:proofErr w:type="spellStart"/>
      <w:r w:rsidRPr="003C4A8A">
        <w:rPr>
          <w:i/>
          <w:lang w:val="en-US"/>
        </w:rPr>
        <w:t>aspectus</w:t>
      </w:r>
      <w:proofErr w:type="spellEnd"/>
      <w:r w:rsidRPr="003C4A8A">
        <w:rPr>
          <w:i/>
          <w:lang w:val="en-US"/>
        </w:rPr>
        <w:t xml:space="preserve">, </w:t>
      </w:r>
      <w:proofErr w:type="spellStart"/>
      <w:r w:rsidRPr="003C4A8A">
        <w:rPr>
          <w:i/>
          <w:lang w:val="en-US"/>
        </w:rPr>
        <w:t>incessus</w:t>
      </w:r>
      <w:proofErr w:type="spellEnd"/>
      <w:r w:rsidRPr="003C4A8A">
        <w:rPr>
          <w:i/>
          <w:lang w:val="en-US"/>
        </w:rPr>
        <w:t xml:space="preserve">, </w:t>
      </w:r>
      <w:proofErr w:type="spellStart"/>
      <w:r w:rsidRPr="003C4A8A">
        <w:rPr>
          <w:i/>
          <w:lang w:val="en-US"/>
        </w:rPr>
        <w:t>risus</w:t>
      </w:r>
      <w:proofErr w:type="spellEnd"/>
      <w:r w:rsidRPr="003C4A8A">
        <w:rPr>
          <w:i/>
          <w:lang w:val="en-US"/>
        </w:rPr>
        <w:t xml:space="preserve">, </w:t>
      </w:r>
      <w:proofErr w:type="spellStart"/>
      <w:r w:rsidRPr="003C4A8A">
        <w:rPr>
          <w:i/>
          <w:lang w:val="en-US"/>
        </w:rPr>
        <w:t>si</w:t>
      </w:r>
      <w:proofErr w:type="spellEnd"/>
      <w:r w:rsidRPr="003C4A8A">
        <w:rPr>
          <w:i/>
          <w:lang w:val="en-US"/>
        </w:rPr>
        <w:t xml:space="preserve"> </w:t>
      </w:r>
      <w:proofErr w:type="spellStart"/>
      <w:r w:rsidRPr="003C4A8A">
        <w:rPr>
          <w:i/>
          <w:lang w:val="en-US"/>
        </w:rPr>
        <w:t>tamen</w:t>
      </w:r>
      <w:proofErr w:type="spellEnd"/>
      <w:r w:rsidRPr="003C4A8A">
        <w:rPr>
          <w:i/>
          <w:lang w:val="en-US"/>
        </w:rPr>
        <w:t xml:space="preserve"> </w:t>
      </w:r>
      <w:proofErr w:type="spellStart"/>
      <w:r w:rsidRPr="003C4A8A">
        <w:rPr>
          <w:i/>
          <w:lang w:val="en-US"/>
        </w:rPr>
        <w:t>risus</w:t>
      </w:r>
      <w:proofErr w:type="spellEnd"/>
      <w:r w:rsidRPr="003C4A8A">
        <w:rPr>
          <w:i/>
          <w:lang w:val="en-US"/>
        </w:rPr>
        <w:t xml:space="preserve">, </w:t>
      </w:r>
      <w:proofErr w:type="spellStart"/>
      <w:r w:rsidRPr="003C4A8A">
        <w:rPr>
          <w:i/>
          <w:lang w:val="en-US"/>
        </w:rPr>
        <w:t>mixtus</w:t>
      </w:r>
      <w:proofErr w:type="spellEnd"/>
      <w:r w:rsidRPr="003C4A8A">
        <w:rPr>
          <w:i/>
          <w:lang w:val="en-US"/>
        </w:rPr>
        <w:t xml:space="preserve"> gravitate et </w:t>
      </w:r>
      <w:proofErr w:type="spellStart"/>
      <w:r w:rsidRPr="003C4A8A">
        <w:rPr>
          <w:i/>
          <w:lang w:val="en-US"/>
        </w:rPr>
        <w:t>plenus</w:t>
      </w:r>
      <w:proofErr w:type="spellEnd"/>
      <w:r w:rsidRPr="003C4A8A">
        <w:rPr>
          <w:i/>
          <w:lang w:val="en-US"/>
        </w:rPr>
        <w:t xml:space="preserve"> </w:t>
      </w:r>
      <w:proofErr w:type="spellStart"/>
      <w:r w:rsidRPr="003C4A8A">
        <w:rPr>
          <w:i/>
          <w:lang w:val="en-US"/>
        </w:rPr>
        <w:t>honesti</w:t>
      </w:r>
      <w:proofErr w:type="spellEnd"/>
      <w:r w:rsidRPr="003C4A8A">
        <w:rPr>
          <w:lang w:val="en-US"/>
        </w:rPr>
        <w:t>.</w:t>
      </w:r>
    </w:p>
  </w:footnote>
  <w:footnote w:id="11">
    <w:p w14:paraId="1619CC97" w14:textId="77777777" w:rsidR="003C4A8A" w:rsidRPr="003C4A8A" w:rsidRDefault="003C4A8A" w:rsidP="003C4A8A">
      <w:pPr>
        <w:pStyle w:val="Funotentext"/>
        <w:rPr>
          <w:lang w:val="en-US"/>
        </w:rPr>
      </w:pPr>
      <w:r>
        <w:rPr>
          <w:rStyle w:val="Funotenzeichen"/>
        </w:rPr>
        <w:footnoteRef/>
      </w:r>
      <w:r w:rsidRPr="003C4A8A">
        <w:rPr>
          <w:lang w:val="en-US"/>
        </w:rPr>
        <w:t xml:space="preserve"> Bernhard, De </w:t>
      </w:r>
      <w:proofErr w:type="spellStart"/>
      <w:r w:rsidRPr="003C4A8A">
        <w:rPr>
          <w:lang w:val="en-US"/>
        </w:rPr>
        <w:t>praecepto</w:t>
      </w:r>
      <w:proofErr w:type="spellEnd"/>
      <w:r w:rsidRPr="003C4A8A">
        <w:rPr>
          <w:lang w:val="en-US"/>
        </w:rPr>
        <w:t xml:space="preserve"> VIII 17, I 370 (265). </w:t>
      </w:r>
    </w:p>
  </w:footnote>
  <w:footnote w:id="12">
    <w:p w14:paraId="76CA73B3" w14:textId="77777777" w:rsidR="003C4A8A" w:rsidRPr="003C4A8A" w:rsidRDefault="003C4A8A" w:rsidP="003C4A8A">
      <w:pPr>
        <w:pStyle w:val="Funotentext"/>
        <w:rPr>
          <w:lang w:val="en-US"/>
        </w:rPr>
      </w:pPr>
      <w:r>
        <w:rPr>
          <w:rStyle w:val="Funotenzeichen"/>
        </w:rPr>
        <w:footnoteRef/>
      </w:r>
      <w:r w:rsidRPr="003C4A8A">
        <w:rPr>
          <w:lang w:val="en-US"/>
        </w:rPr>
        <w:t xml:space="preserve"> </w:t>
      </w:r>
      <w:proofErr w:type="spellStart"/>
      <w:r w:rsidRPr="003C4A8A">
        <w:rPr>
          <w:lang w:val="en-US"/>
        </w:rPr>
        <w:t>Mechthild</w:t>
      </w:r>
      <w:proofErr w:type="spellEnd"/>
      <w:r w:rsidRPr="003C4A8A">
        <w:rPr>
          <w:lang w:val="en-US"/>
        </w:rPr>
        <w:t xml:space="preserve">, Licht IV 20, 286. </w:t>
      </w:r>
    </w:p>
  </w:footnote>
  <w:footnote w:id="13">
    <w:p w14:paraId="4FC598BB" w14:textId="77777777" w:rsidR="003C4A8A" w:rsidRPr="003C4A8A" w:rsidRDefault="003C4A8A" w:rsidP="003C4A8A">
      <w:pPr>
        <w:pStyle w:val="Funotentext"/>
        <w:rPr>
          <w:lang w:val="de-AT"/>
        </w:rPr>
      </w:pPr>
      <w:r>
        <w:rPr>
          <w:rStyle w:val="Funotenzeichen"/>
        </w:rPr>
        <w:footnoteRef/>
      </w:r>
      <w:r>
        <w:rPr>
          <w:lang w:val="en-GB"/>
        </w:rPr>
        <w:t xml:space="preserve"> </w:t>
      </w:r>
      <w:proofErr w:type="spellStart"/>
      <w:r>
        <w:rPr>
          <w:lang w:val="en-GB"/>
        </w:rPr>
        <w:t>Samaragd</w:t>
      </w:r>
      <w:proofErr w:type="spellEnd"/>
      <w:r>
        <w:rPr>
          <w:lang w:val="en-GB"/>
        </w:rPr>
        <w:t xml:space="preserve">, </w:t>
      </w:r>
      <w:proofErr w:type="spellStart"/>
      <w:r>
        <w:rPr>
          <w:lang w:val="en-GB"/>
        </w:rPr>
        <w:t>Expositio</w:t>
      </w:r>
      <w:proofErr w:type="spellEnd"/>
      <w:r>
        <w:rPr>
          <w:lang w:val="en-GB"/>
        </w:rPr>
        <w:t xml:space="preserve"> in </w:t>
      </w:r>
      <w:proofErr w:type="spellStart"/>
      <w:r>
        <w:rPr>
          <w:lang w:val="en-GB"/>
        </w:rPr>
        <w:t>regulam</w:t>
      </w:r>
      <w:proofErr w:type="spellEnd"/>
      <w:r>
        <w:rPr>
          <w:lang w:val="en-GB"/>
        </w:rPr>
        <w:t xml:space="preserve"> </w:t>
      </w:r>
      <w:proofErr w:type="spellStart"/>
      <w:r>
        <w:rPr>
          <w:lang w:val="en-GB"/>
        </w:rPr>
        <w:t>Benedicti</w:t>
      </w:r>
      <w:proofErr w:type="spellEnd"/>
      <w:r>
        <w:rPr>
          <w:lang w:val="en-GB"/>
        </w:rPr>
        <w:t xml:space="preserve">, CCM 8, 134 und 188; </w:t>
      </w:r>
      <w:r>
        <w:rPr>
          <w:i/>
          <w:lang w:val="en-GB"/>
        </w:rPr>
        <w:t xml:space="preserve">… quod rident </w:t>
      </w:r>
      <w:proofErr w:type="spellStart"/>
      <w:r>
        <w:rPr>
          <w:i/>
          <w:lang w:val="en-GB"/>
        </w:rPr>
        <w:t>homines</w:t>
      </w:r>
      <w:proofErr w:type="spellEnd"/>
      <w:r>
        <w:rPr>
          <w:i/>
          <w:lang w:val="en-GB"/>
        </w:rPr>
        <w:t xml:space="preserve"> </w:t>
      </w:r>
      <w:proofErr w:type="spellStart"/>
      <w:r>
        <w:rPr>
          <w:i/>
          <w:lang w:val="en-GB"/>
        </w:rPr>
        <w:t>plorandum</w:t>
      </w:r>
      <w:proofErr w:type="spellEnd"/>
      <w:r>
        <w:rPr>
          <w:i/>
          <w:lang w:val="en-GB"/>
        </w:rPr>
        <w:t xml:space="preserve"> </w:t>
      </w:r>
      <w:proofErr w:type="spellStart"/>
      <w:r w:rsidRPr="00721C34">
        <w:rPr>
          <w:lang w:val="en-GB"/>
        </w:rPr>
        <w:t>est</w:t>
      </w:r>
      <w:proofErr w:type="spellEnd"/>
      <w:r>
        <w:rPr>
          <w:lang w:val="en-GB"/>
        </w:rPr>
        <w:t xml:space="preserve">, </w:t>
      </w:r>
      <w:proofErr w:type="spellStart"/>
      <w:r w:rsidRPr="00721C34">
        <w:rPr>
          <w:lang w:val="en-GB"/>
        </w:rPr>
        <w:t>Augustinus</w:t>
      </w:r>
      <w:proofErr w:type="spellEnd"/>
      <w:r>
        <w:rPr>
          <w:lang w:val="en-GB"/>
        </w:rPr>
        <w:t xml:space="preserve">, </w:t>
      </w:r>
      <w:proofErr w:type="spellStart"/>
      <w:r>
        <w:rPr>
          <w:lang w:val="en-GB"/>
        </w:rPr>
        <w:t>serm</w:t>
      </w:r>
      <w:proofErr w:type="spellEnd"/>
      <w:r>
        <w:rPr>
          <w:lang w:val="en-GB"/>
        </w:rPr>
        <w:t xml:space="preserve">. </w:t>
      </w:r>
      <w:r w:rsidRPr="003C4A8A">
        <w:rPr>
          <w:lang w:val="de-AT"/>
        </w:rPr>
        <w:t xml:space="preserve">31, 393. </w:t>
      </w:r>
      <w:r w:rsidRPr="003C4A8A">
        <w:rPr>
          <w:smallCaps/>
          <w:lang w:val="de-AT"/>
        </w:rPr>
        <w:t xml:space="preserve">Schmitz, </w:t>
      </w:r>
      <w:r>
        <w:t xml:space="preserve">Der „Unwert“ des Lachens. </w:t>
      </w:r>
    </w:p>
  </w:footnote>
  <w:footnote w:id="14">
    <w:p w14:paraId="6A811DC4" w14:textId="77777777" w:rsidR="003C4A8A" w:rsidRDefault="003C4A8A" w:rsidP="003C4A8A">
      <w:pPr>
        <w:pStyle w:val="Funotentext"/>
      </w:pPr>
      <w:r>
        <w:rPr>
          <w:rStyle w:val="Funotenzeichen"/>
        </w:rPr>
        <w:footnoteRef/>
      </w:r>
      <w:r>
        <w:t xml:space="preserve"> Trudperter </w:t>
      </w:r>
      <w:proofErr w:type="spellStart"/>
      <w:r>
        <w:t>Hoheslied</w:t>
      </w:r>
      <w:proofErr w:type="spellEnd"/>
      <w:r>
        <w:t xml:space="preserve"> 85, 1–86, 5, 188f.; Jes. 11, 2f.; </w:t>
      </w:r>
      <w:proofErr w:type="spellStart"/>
      <w:r w:rsidRPr="00C6733D">
        <w:rPr>
          <w:smallCaps/>
        </w:rPr>
        <w:t>Ohly</w:t>
      </w:r>
      <w:proofErr w:type="spellEnd"/>
      <w:r>
        <w:t xml:space="preserve">, Kommentar zur Edition des Trudperter </w:t>
      </w:r>
      <w:proofErr w:type="spellStart"/>
      <w:r>
        <w:t>Hohenliedes</w:t>
      </w:r>
      <w:proofErr w:type="spellEnd"/>
      <w:r>
        <w:t xml:space="preserve"> 1008; Zitat 95, 31f, 206. </w:t>
      </w:r>
    </w:p>
  </w:footnote>
  <w:footnote w:id="15">
    <w:p w14:paraId="765FCE41" w14:textId="77777777" w:rsidR="003C4A8A" w:rsidRDefault="003C4A8A" w:rsidP="003C4A8A">
      <w:pPr>
        <w:pStyle w:val="Funotentext"/>
        <w:rPr>
          <w:lang w:val="en-GB"/>
        </w:rPr>
      </w:pPr>
      <w:r>
        <w:rPr>
          <w:rStyle w:val="Funotenzeichen"/>
        </w:rPr>
        <w:footnoteRef/>
      </w:r>
      <w:r>
        <w:rPr>
          <w:lang w:val="en-GB"/>
        </w:rPr>
        <w:t xml:space="preserve"> Speculum </w:t>
      </w:r>
      <w:proofErr w:type="spellStart"/>
      <w:r>
        <w:rPr>
          <w:lang w:val="en-GB"/>
        </w:rPr>
        <w:t>virginum</w:t>
      </w:r>
      <w:proofErr w:type="spellEnd"/>
      <w:r>
        <w:rPr>
          <w:lang w:val="en-GB"/>
        </w:rPr>
        <w:t xml:space="preserve"> IX 257, 744. </w:t>
      </w:r>
    </w:p>
  </w:footnote>
  <w:footnote w:id="16">
    <w:p w14:paraId="54787C96" w14:textId="77777777" w:rsidR="003C4A8A" w:rsidRDefault="003C4A8A" w:rsidP="003C4A8A">
      <w:pPr>
        <w:pStyle w:val="Funotentext"/>
        <w:rPr>
          <w:lang w:val="fr-FR"/>
        </w:rPr>
      </w:pPr>
      <w:r>
        <w:rPr>
          <w:rStyle w:val="Funotenzeichen"/>
        </w:rPr>
        <w:footnoteRef/>
      </w:r>
      <w:r>
        <w:rPr>
          <w:lang w:val="fr-FR"/>
        </w:rPr>
        <w:t xml:space="preserve"> </w:t>
      </w:r>
      <w:proofErr w:type="spellStart"/>
      <w:r>
        <w:rPr>
          <w:lang w:val="fr-FR"/>
        </w:rPr>
        <w:t>Isidor</w:t>
      </w:r>
      <w:proofErr w:type="spellEnd"/>
      <w:r>
        <w:rPr>
          <w:lang w:val="fr-FR"/>
        </w:rPr>
        <w:t xml:space="preserve">, Et. 7 VII 3, </w:t>
      </w:r>
      <w:proofErr w:type="gramStart"/>
      <w:r>
        <w:rPr>
          <w:lang w:val="fr-FR"/>
        </w:rPr>
        <w:t>286:</w:t>
      </w:r>
      <w:proofErr w:type="gramEnd"/>
      <w:r>
        <w:rPr>
          <w:lang w:val="fr-FR"/>
        </w:rPr>
        <w:t xml:space="preserve"> </w:t>
      </w:r>
      <w:r w:rsidRPr="006A31FB">
        <w:rPr>
          <w:i/>
          <w:lang w:val="fr-FR"/>
        </w:rPr>
        <w:t xml:space="preserve">Isaac ex </w:t>
      </w:r>
      <w:proofErr w:type="spellStart"/>
      <w:r w:rsidRPr="006A31FB">
        <w:rPr>
          <w:i/>
          <w:lang w:val="fr-FR"/>
        </w:rPr>
        <w:t>risu</w:t>
      </w:r>
      <w:proofErr w:type="spellEnd"/>
      <w:r w:rsidRPr="006A31FB">
        <w:rPr>
          <w:i/>
          <w:lang w:val="fr-FR"/>
        </w:rPr>
        <w:t xml:space="preserve"> </w:t>
      </w:r>
      <w:proofErr w:type="spellStart"/>
      <w:r w:rsidRPr="006A31FB">
        <w:rPr>
          <w:i/>
          <w:lang w:val="fr-FR"/>
        </w:rPr>
        <w:t>nomen</w:t>
      </w:r>
      <w:proofErr w:type="spellEnd"/>
      <w:r w:rsidRPr="006A31FB">
        <w:rPr>
          <w:i/>
          <w:lang w:val="fr-FR"/>
        </w:rPr>
        <w:t xml:space="preserve"> </w:t>
      </w:r>
      <w:proofErr w:type="spellStart"/>
      <w:r w:rsidRPr="006A31FB">
        <w:rPr>
          <w:i/>
          <w:lang w:val="fr-FR"/>
        </w:rPr>
        <w:t>accepit</w:t>
      </w:r>
      <w:proofErr w:type="spellEnd"/>
      <w:r>
        <w:rPr>
          <w:lang w:val="fr-FR"/>
        </w:rPr>
        <w:t>.</w:t>
      </w:r>
    </w:p>
  </w:footnote>
  <w:footnote w:id="17">
    <w:p w14:paraId="2D5072C4" w14:textId="77777777" w:rsidR="003C4A8A" w:rsidRDefault="003C4A8A" w:rsidP="003C4A8A">
      <w:pPr>
        <w:pStyle w:val="Funotentext"/>
        <w:rPr>
          <w:lang w:val="fr-FR"/>
        </w:rPr>
      </w:pPr>
      <w:r>
        <w:rPr>
          <w:rStyle w:val="Funotenzeichen"/>
        </w:rPr>
        <w:footnoteRef/>
      </w:r>
      <w:r>
        <w:rPr>
          <w:lang w:val="fr-FR"/>
        </w:rPr>
        <w:t xml:space="preserve"> </w:t>
      </w:r>
      <w:proofErr w:type="spellStart"/>
      <w:r>
        <w:rPr>
          <w:lang w:val="fr-FR"/>
        </w:rPr>
        <w:t>Herrad</w:t>
      </w:r>
      <w:proofErr w:type="spellEnd"/>
      <w:r>
        <w:rPr>
          <w:lang w:val="fr-FR"/>
        </w:rPr>
        <w:t xml:space="preserve">, </w:t>
      </w:r>
      <w:proofErr w:type="spellStart"/>
      <w:r>
        <w:rPr>
          <w:lang w:val="fr-FR"/>
        </w:rPr>
        <w:t>Hortus</w:t>
      </w:r>
      <w:proofErr w:type="spellEnd"/>
      <w:r>
        <w:rPr>
          <w:lang w:val="fr-FR"/>
        </w:rPr>
        <w:t xml:space="preserve"> fol. 24</w:t>
      </w:r>
      <w:r>
        <w:rPr>
          <w:vertAlign w:val="superscript"/>
          <w:lang w:val="fr-FR"/>
        </w:rPr>
        <w:t>v</w:t>
      </w:r>
      <w:r>
        <w:rPr>
          <w:lang w:val="fr-FR"/>
        </w:rPr>
        <w:t xml:space="preserve">, </w:t>
      </w:r>
      <w:r>
        <w:rPr>
          <w:lang w:val="en-GB"/>
        </w:rPr>
        <w:t xml:space="preserve">Nr. </w:t>
      </w:r>
      <w:r>
        <w:rPr>
          <w:lang w:val="fr-FR"/>
        </w:rPr>
        <w:t xml:space="preserve">93, 41, </w:t>
      </w:r>
      <w:proofErr w:type="spellStart"/>
      <w:r>
        <w:rPr>
          <w:i/>
          <w:lang w:val="fr-FR"/>
        </w:rPr>
        <w:t>chachinnus</w:t>
      </w:r>
      <w:proofErr w:type="spellEnd"/>
      <w:r>
        <w:rPr>
          <w:i/>
          <w:lang w:val="fr-FR"/>
        </w:rPr>
        <w:t xml:space="preserve"> = </w:t>
      </w:r>
      <w:proofErr w:type="spellStart"/>
      <w:r>
        <w:rPr>
          <w:i/>
          <w:lang w:val="fr-FR"/>
        </w:rPr>
        <w:t>chachizunge</w:t>
      </w:r>
      <w:proofErr w:type="spellEnd"/>
      <w:r>
        <w:rPr>
          <w:lang w:val="fr-FR"/>
        </w:rPr>
        <w:t xml:space="preserve">. </w:t>
      </w:r>
      <w:proofErr w:type="spellStart"/>
      <w:r>
        <w:rPr>
          <w:lang w:val="fr-FR"/>
        </w:rPr>
        <w:t>Hildegard</w:t>
      </w:r>
      <w:proofErr w:type="spellEnd"/>
      <w:r>
        <w:rPr>
          <w:lang w:val="fr-FR"/>
        </w:rPr>
        <w:t xml:space="preserve">, Cause et Cure II 312–314, 188f. </w:t>
      </w:r>
    </w:p>
  </w:footnote>
  <w:footnote w:id="18">
    <w:p w14:paraId="024F8EBE" w14:textId="77777777" w:rsidR="003C4A8A" w:rsidRDefault="003C4A8A" w:rsidP="003C4A8A">
      <w:pPr>
        <w:pStyle w:val="Funotentext"/>
        <w:rPr>
          <w:lang w:val="it-IT"/>
        </w:rPr>
      </w:pPr>
      <w:r>
        <w:rPr>
          <w:rStyle w:val="Funotenzeichen"/>
        </w:rPr>
        <w:footnoteRef/>
      </w:r>
      <w:r>
        <w:rPr>
          <w:lang w:val="fr-FR"/>
        </w:rPr>
        <w:t xml:space="preserve"> Reg. Ben. 7, </w:t>
      </w:r>
      <w:proofErr w:type="gramStart"/>
      <w:r>
        <w:rPr>
          <w:lang w:val="fr-FR"/>
        </w:rPr>
        <w:t>59;</w:t>
      </w:r>
      <w:proofErr w:type="gramEnd"/>
      <w:r>
        <w:rPr>
          <w:lang w:val="fr-FR"/>
        </w:rPr>
        <w:t xml:space="preserve"> </w:t>
      </w:r>
      <w:proofErr w:type="spellStart"/>
      <w:r>
        <w:rPr>
          <w:lang w:val="fr-FR"/>
        </w:rPr>
        <w:t>Prov</w:t>
      </w:r>
      <w:proofErr w:type="spellEnd"/>
      <w:r>
        <w:rPr>
          <w:lang w:val="fr-FR"/>
        </w:rPr>
        <w:t xml:space="preserve"> 14, 13. </w:t>
      </w:r>
      <w:proofErr w:type="spellStart"/>
      <w:r>
        <w:rPr>
          <w:lang w:val="fr-FR"/>
        </w:rPr>
        <w:t>Vgl</w:t>
      </w:r>
      <w:proofErr w:type="spellEnd"/>
      <w:r>
        <w:rPr>
          <w:lang w:val="fr-FR"/>
        </w:rPr>
        <w:t xml:space="preserve">. Alcuin, De </w:t>
      </w:r>
      <w:proofErr w:type="spellStart"/>
      <w:r>
        <w:rPr>
          <w:lang w:val="fr-FR"/>
        </w:rPr>
        <w:t>virtutibus</w:t>
      </w:r>
      <w:proofErr w:type="spellEnd"/>
      <w:r>
        <w:rPr>
          <w:lang w:val="fr-FR"/>
        </w:rPr>
        <w:t xml:space="preserve"> et </w:t>
      </w:r>
      <w:proofErr w:type="spellStart"/>
      <w:r>
        <w:rPr>
          <w:lang w:val="fr-FR"/>
        </w:rPr>
        <w:t>vitiis</w:t>
      </w:r>
      <w:proofErr w:type="spellEnd"/>
      <w:r>
        <w:rPr>
          <w:lang w:val="fr-FR"/>
        </w:rPr>
        <w:t xml:space="preserve"> 32f., </w:t>
      </w:r>
      <w:proofErr w:type="gramStart"/>
      <w:r>
        <w:rPr>
          <w:lang w:val="fr-FR"/>
        </w:rPr>
        <w:t>635;</w:t>
      </w:r>
      <w:proofErr w:type="gramEnd"/>
      <w:r>
        <w:rPr>
          <w:lang w:val="fr-FR"/>
        </w:rPr>
        <w:t xml:space="preserve"> </w:t>
      </w:r>
      <w:proofErr w:type="spellStart"/>
      <w:r>
        <w:rPr>
          <w:lang w:val="fr-FR"/>
        </w:rPr>
        <w:t>Theodulf</w:t>
      </w:r>
      <w:proofErr w:type="spellEnd"/>
      <w:r>
        <w:rPr>
          <w:lang w:val="fr-FR"/>
        </w:rPr>
        <w:t xml:space="preserve"> an Karl den </w:t>
      </w:r>
      <w:proofErr w:type="spellStart"/>
      <w:r>
        <w:rPr>
          <w:lang w:val="fr-FR"/>
        </w:rPr>
        <w:t>Großen</w:t>
      </w:r>
      <w:proofErr w:type="spellEnd"/>
      <w:r>
        <w:rPr>
          <w:lang w:val="fr-FR"/>
        </w:rPr>
        <w:t xml:space="preserve">, MGH </w:t>
      </w:r>
      <w:proofErr w:type="spellStart"/>
      <w:r>
        <w:rPr>
          <w:lang w:val="fr-FR"/>
        </w:rPr>
        <w:t>Poetae</w:t>
      </w:r>
      <w:proofErr w:type="spellEnd"/>
      <w:r>
        <w:rPr>
          <w:lang w:val="fr-FR"/>
        </w:rPr>
        <w:t xml:space="preserve"> lat. I 483, v. 9–12, 483; </w:t>
      </w:r>
      <w:proofErr w:type="spellStart"/>
      <w:r>
        <w:rPr>
          <w:lang w:val="fr-FR"/>
        </w:rPr>
        <w:t>weitere</w:t>
      </w:r>
      <w:proofErr w:type="spellEnd"/>
      <w:r>
        <w:rPr>
          <w:lang w:val="fr-FR"/>
        </w:rPr>
        <w:t xml:space="preserve"> </w:t>
      </w:r>
      <w:proofErr w:type="spellStart"/>
      <w:r>
        <w:rPr>
          <w:lang w:val="fr-FR"/>
        </w:rPr>
        <w:t>Belege</w:t>
      </w:r>
      <w:proofErr w:type="spellEnd"/>
      <w:r>
        <w:rPr>
          <w:lang w:val="fr-FR"/>
        </w:rPr>
        <w:t xml:space="preserve"> </w:t>
      </w:r>
      <w:r w:rsidRPr="002B6192">
        <w:rPr>
          <w:smallCaps/>
          <w:lang w:val="fr-FR"/>
        </w:rPr>
        <w:t>Curtius</w:t>
      </w:r>
      <w:r>
        <w:rPr>
          <w:lang w:val="fr-FR"/>
        </w:rPr>
        <w:t xml:space="preserve">, </w:t>
      </w:r>
      <w:proofErr w:type="spellStart"/>
      <w:r>
        <w:rPr>
          <w:lang w:val="fr-FR"/>
        </w:rPr>
        <w:t>Literatur</w:t>
      </w:r>
      <w:proofErr w:type="spellEnd"/>
      <w:r>
        <w:rPr>
          <w:lang w:val="fr-FR"/>
        </w:rPr>
        <w:t xml:space="preserve"> 425f.; </w:t>
      </w:r>
      <w:proofErr w:type="spellStart"/>
      <w:r>
        <w:rPr>
          <w:lang w:val="fr-FR"/>
        </w:rPr>
        <w:t>Agius</w:t>
      </w:r>
      <w:proofErr w:type="spellEnd"/>
      <w:r>
        <w:rPr>
          <w:lang w:val="fr-FR"/>
        </w:rPr>
        <w:t xml:space="preserve">, V. </w:t>
      </w:r>
      <w:proofErr w:type="spellStart"/>
      <w:r>
        <w:rPr>
          <w:lang w:val="fr-FR"/>
        </w:rPr>
        <w:t>Hathumodae</w:t>
      </w:r>
      <w:proofErr w:type="spellEnd"/>
      <w:r>
        <w:rPr>
          <w:lang w:val="fr-FR"/>
        </w:rPr>
        <w:t xml:space="preserve"> c. 7, 169 </w:t>
      </w:r>
      <w:proofErr w:type="spellStart"/>
      <w:r>
        <w:rPr>
          <w:i/>
          <w:lang w:val="fr-FR"/>
        </w:rPr>
        <w:t>multum</w:t>
      </w:r>
      <w:proofErr w:type="spellEnd"/>
      <w:r>
        <w:rPr>
          <w:i/>
          <w:lang w:val="fr-FR"/>
        </w:rPr>
        <w:t xml:space="preserve"> et </w:t>
      </w:r>
      <w:proofErr w:type="spellStart"/>
      <w:r>
        <w:rPr>
          <w:i/>
          <w:lang w:val="fr-FR"/>
        </w:rPr>
        <w:t>inhonste</w:t>
      </w:r>
      <w:proofErr w:type="spellEnd"/>
      <w:r>
        <w:rPr>
          <w:lang w:val="fr-FR"/>
        </w:rPr>
        <w:t xml:space="preserve">; </w:t>
      </w:r>
      <w:proofErr w:type="spellStart"/>
      <w:r>
        <w:rPr>
          <w:lang w:val="fr-FR"/>
        </w:rPr>
        <w:t>Hildegard</w:t>
      </w:r>
      <w:proofErr w:type="spellEnd"/>
      <w:r>
        <w:rPr>
          <w:lang w:val="fr-FR"/>
        </w:rPr>
        <w:t xml:space="preserve">, </w:t>
      </w:r>
      <w:proofErr w:type="spellStart"/>
      <w:r>
        <w:rPr>
          <w:lang w:val="fr-FR"/>
        </w:rPr>
        <w:t>Causae</w:t>
      </w:r>
      <w:proofErr w:type="spellEnd"/>
      <w:r>
        <w:rPr>
          <w:lang w:val="fr-FR"/>
        </w:rPr>
        <w:t xml:space="preserve"> et </w:t>
      </w:r>
      <w:proofErr w:type="spellStart"/>
      <w:r>
        <w:rPr>
          <w:lang w:val="fr-FR"/>
        </w:rPr>
        <w:t>Curae</w:t>
      </w:r>
      <w:proofErr w:type="spellEnd"/>
      <w:r>
        <w:rPr>
          <w:lang w:val="fr-FR"/>
        </w:rPr>
        <w:t xml:space="preserve"> II, 145–149, 106–112 (</w:t>
      </w:r>
      <w:proofErr w:type="spellStart"/>
      <w:r>
        <w:rPr>
          <w:lang w:val="fr-FR"/>
        </w:rPr>
        <w:t>über</w:t>
      </w:r>
      <w:proofErr w:type="spellEnd"/>
      <w:r>
        <w:rPr>
          <w:lang w:val="fr-FR"/>
        </w:rPr>
        <w:t xml:space="preserve"> die Galle); </w:t>
      </w:r>
      <w:proofErr w:type="spellStart"/>
      <w:r>
        <w:rPr>
          <w:lang w:val="fr-FR"/>
        </w:rPr>
        <w:t>Elisabeth</w:t>
      </w:r>
      <w:proofErr w:type="spellEnd"/>
      <w:r>
        <w:rPr>
          <w:lang w:val="fr-FR"/>
        </w:rPr>
        <w:t xml:space="preserve">, </w:t>
      </w:r>
      <w:proofErr w:type="spellStart"/>
      <w:r>
        <w:rPr>
          <w:lang w:val="fr-FR"/>
        </w:rPr>
        <w:t>Visionen</w:t>
      </w:r>
      <w:proofErr w:type="spellEnd"/>
      <w:r>
        <w:rPr>
          <w:lang w:val="fr-FR"/>
        </w:rPr>
        <w:t xml:space="preserve"> p. 4: </w:t>
      </w:r>
      <w:proofErr w:type="spellStart"/>
      <w:r>
        <w:rPr>
          <w:i/>
          <w:lang w:val="fr-FR"/>
        </w:rPr>
        <w:t>hac</w:t>
      </w:r>
      <w:proofErr w:type="spellEnd"/>
      <w:r>
        <w:rPr>
          <w:i/>
          <w:lang w:val="fr-FR"/>
        </w:rPr>
        <w:t xml:space="preserve"> non </w:t>
      </w:r>
      <w:proofErr w:type="spellStart"/>
      <w:r>
        <w:rPr>
          <w:i/>
          <w:lang w:val="fr-FR"/>
        </w:rPr>
        <w:t>bona</w:t>
      </w:r>
      <w:proofErr w:type="spellEnd"/>
      <w:r>
        <w:rPr>
          <w:i/>
          <w:lang w:val="fr-FR"/>
        </w:rPr>
        <w:t xml:space="preserve"> </w:t>
      </w:r>
      <w:proofErr w:type="spellStart"/>
      <w:r>
        <w:rPr>
          <w:i/>
          <w:lang w:val="fr-FR"/>
        </w:rPr>
        <w:t>tristitia</w:t>
      </w:r>
      <w:proofErr w:type="spellEnd"/>
      <w:r>
        <w:rPr>
          <w:i/>
          <w:lang w:val="fr-FR"/>
        </w:rPr>
        <w:t xml:space="preserve">. </w:t>
      </w:r>
      <w:r>
        <w:rPr>
          <w:lang w:val="it-IT"/>
        </w:rPr>
        <w:t xml:space="preserve">Cicero, de </w:t>
      </w:r>
      <w:proofErr w:type="spellStart"/>
      <w:r>
        <w:rPr>
          <w:lang w:val="it-IT"/>
        </w:rPr>
        <w:t>officiis</w:t>
      </w:r>
      <w:proofErr w:type="spellEnd"/>
      <w:r>
        <w:rPr>
          <w:lang w:val="it-IT"/>
        </w:rPr>
        <w:t xml:space="preserve"> I 103; </w:t>
      </w:r>
      <w:proofErr w:type="spellStart"/>
      <w:r>
        <w:rPr>
          <w:lang w:val="it-IT"/>
        </w:rPr>
        <w:t>Eccli</w:t>
      </w:r>
      <w:proofErr w:type="spellEnd"/>
      <w:r>
        <w:rPr>
          <w:lang w:val="it-IT"/>
        </w:rPr>
        <w:t xml:space="preserve">. 21, 23; Andreas </w:t>
      </w:r>
      <w:proofErr w:type="spellStart"/>
      <w:r>
        <w:rPr>
          <w:lang w:val="it-IT"/>
        </w:rPr>
        <w:t>Capellanus</w:t>
      </w:r>
      <w:proofErr w:type="spellEnd"/>
      <w:r>
        <w:rPr>
          <w:lang w:val="it-IT"/>
        </w:rPr>
        <w:t xml:space="preserve">, De amore I 6, 153: </w:t>
      </w:r>
      <w:r>
        <w:rPr>
          <w:i/>
          <w:lang w:val="it-IT"/>
        </w:rPr>
        <w:t xml:space="preserve">modico </w:t>
      </w:r>
      <w:proofErr w:type="spellStart"/>
      <w:r>
        <w:rPr>
          <w:i/>
          <w:lang w:val="it-IT"/>
        </w:rPr>
        <w:t>risu</w:t>
      </w:r>
      <w:proofErr w:type="spellEnd"/>
      <w:r>
        <w:rPr>
          <w:i/>
          <w:lang w:val="it-IT"/>
        </w:rPr>
        <w:t xml:space="preserve"> in </w:t>
      </w:r>
      <w:proofErr w:type="spellStart"/>
      <w:r>
        <w:rPr>
          <w:i/>
          <w:lang w:val="it-IT"/>
        </w:rPr>
        <w:t>mulierum</w:t>
      </w:r>
      <w:proofErr w:type="spellEnd"/>
      <w:r>
        <w:rPr>
          <w:i/>
          <w:lang w:val="it-IT"/>
        </w:rPr>
        <w:t xml:space="preserve"> </w:t>
      </w:r>
      <w:proofErr w:type="spellStart"/>
      <w:r>
        <w:rPr>
          <w:i/>
          <w:lang w:val="it-IT"/>
        </w:rPr>
        <w:t>utatur</w:t>
      </w:r>
      <w:proofErr w:type="spellEnd"/>
      <w:r>
        <w:rPr>
          <w:i/>
          <w:lang w:val="it-IT"/>
        </w:rPr>
        <w:t xml:space="preserve"> </w:t>
      </w:r>
      <w:proofErr w:type="spellStart"/>
      <w:r>
        <w:rPr>
          <w:i/>
          <w:lang w:val="it-IT"/>
        </w:rPr>
        <w:t>aspectu</w:t>
      </w:r>
      <w:proofErr w:type="spellEnd"/>
      <w:r>
        <w:rPr>
          <w:lang w:val="it-IT"/>
        </w:rPr>
        <w:t xml:space="preserve">. </w:t>
      </w:r>
    </w:p>
  </w:footnote>
  <w:footnote w:id="19">
    <w:p w14:paraId="4123B1B7" w14:textId="77777777" w:rsidR="003C4A8A" w:rsidRPr="003C4A8A" w:rsidRDefault="003C4A8A" w:rsidP="003C4A8A">
      <w:pPr>
        <w:pStyle w:val="Funotentext"/>
        <w:rPr>
          <w:lang w:val="en-US"/>
        </w:rPr>
      </w:pPr>
      <w:r>
        <w:rPr>
          <w:rStyle w:val="Funotenzeichen"/>
        </w:rPr>
        <w:footnoteRef/>
      </w:r>
      <w:r w:rsidRPr="003C4A8A">
        <w:rPr>
          <w:lang w:val="en-US"/>
        </w:rPr>
        <w:t xml:space="preserve"> Hildegard, Cause et cure IV, 245. </w:t>
      </w:r>
    </w:p>
  </w:footnote>
  <w:footnote w:id="20">
    <w:p w14:paraId="11659725" w14:textId="77777777" w:rsidR="003C4A8A" w:rsidRDefault="003C4A8A" w:rsidP="003C4A8A">
      <w:pPr>
        <w:pStyle w:val="Funotentext"/>
        <w:rPr>
          <w:lang w:val="it-IT"/>
        </w:rPr>
      </w:pPr>
      <w:r>
        <w:rPr>
          <w:rStyle w:val="Funotenzeichen"/>
        </w:rPr>
        <w:footnoteRef/>
      </w:r>
      <w:r>
        <w:rPr>
          <w:lang w:val="it-IT"/>
        </w:rPr>
        <w:t xml:space="preserve"> </w:t>
      </w:r>
      <w:proofErr w:type="spellStart"/>
      <w:r>
        <w:rPr>
          <w:lang w:val="it-IT"/>
        </w:rPr>
        <w:t>Hildegard</w:t>
      </w:r>
      <w:proofErr w:type="spellEnd"/>
      <w:r>
        <w:rPr>
          <w:lang w:val="it-IT"/>
        </w:rPr>
        <w:t xml:space="preserve">, Liber vitae </w:t>
      </w:r>
      <w:proofErr w:type="spellStart"/>
      <w:r>
        <w:rPr>
          <w:lang w:val="it-IT"/>
        </w:rPr>
        <w:t>meritorum</w:t>
      </w:r>
      <w:proofErr w:type="spellEnd"/>
      <w:r>
        <w:rPr>
          <w:lang w:val="it-IT"/>
        </w:rPr>
        <w:t xml:space="preserve"> 1 </w:t>
      </w:r>
      <w:proofErr w:type="spellStart"/>
      <w:r>
        <w:rPr>
          <w:lang w:val="it-IT"/>
        </w:rPr>
        <w:t>IIf</w:t>
      </w:r>
      <w:proofErr w:type="spellEnd"/>
      <w:r>
        <w:rPr>
          <w:lang w:val="it-IT"/>
        </w:rPr>
        <w:t xml:space="preserve">., 14. </w:t>
      </w:r>
    </w:p>
  </w:footnote>
  <w:footnote w:id="21">
    <w:p w14:paraId="016432DF" w14:textId="77777777" w:rsidR="003C4A8A" w:rsidRDefault="003C4A8A" w:rsidP="003C4A8A">
      <w:pPr>
        <w:pStyle w:val="Funotentext"/>
        <w:rPr>
          <w:lang w:val="it-IT"/>
        </w:rPr>
      </w:pPr>
      <w:r>
        <w:rPr>
          <w:rStyle w:val="Funotenzeichen"/>
        </w:rPr>
        <w:footnoteRef/>
      </w:r>
      <w:r>
        <w:rPr>
          <w:lang w:val="it-IT"/>
        </w:rPr>
        <w:t xml:space="preserve"> </w:t>
      </w:r>
      <w:proofErr w:type="spellStart"/>
      <w:r>
        <w:rPr>
          <w:lang w:val="it-IT"/>
        </w:rPr>
        <w:t>Ambrosius</w:t>
      </w:r>
      <w:proofErr w:type="spellEnd"/>
      <w:r>
        <w:rPr>
          <w:lang w:val="it-IT"/>
        </w:rPr>
        <w:t xml:space="preserve">, De </w:t>
      </w:r>
      <w:proofErr w:type="spellStart"/>
      <w:r>
        <w:rPr>
          <w:lang w:val="it-IT"/>
        </w:rPr>
        <w:t>officiis</w:t>
      </w:r>
      <w:proofErr w:type="spellEnd"/>
      <w:r>
        <w:rPr>
          <w:lang w:val="it-IT"/>
        </w:rPr>
        <w:t xml:space="preserve"> 1 XXIII, 102f. </w:t>
      </w:r>
    </w:p>
  </w:footnote>
  <w:footnote w:id="22">
    <w:p w14:paraId="7C0052F9" w14:textId="77777777" w:rsidR="003C4A8A" w:rsidRDefault="003C4A8A" w:rsidP="003C4A8A">
      <w:pPr>
        <w:pStyle w:val="Funotentext"/>
        <w:rPr>
          <w:lang w:val="it-IT"/>
        </w:rPr>
      </w:pPr>
      <w:r>
        <w:rPr>
          <w:rStyle w:val="Funotenzeichen"/>
        </w:rPr>
        <w:footnoteRef/>
      </w:r>
      <w:r>
        <w:rPr>
          <w:lang w:val="it-IT"/>
        </w:rPr>
        <w:t xml:space="preserve"> Alain, </w:t>
      </w:r>
      <w:proofErr w:type="spellStart"/>
      <w:r>
        <w:rPr>
          <w:lang w:val="it-IT"/>
        </w:rPr>
        <w:t>Planctus</w:t>
      </w:r>
      <w:proofErr w:type="spellEnd"/>
      <w:r>
        <w:rPr>
          <w:lang w:val="it-IT"/>
        </w:rPr>
        <w:t xml:space="preserve"> X Z. 148, 849. Bernhard </w:t>
      </w:r>
      <w:proofErr w:type="spellStart"/>
      <w:r>
        <w:rPr>
          <w:lang w:val="it-IT"/>
        </w:rPr>
        <w:t>ep</w:t>
      </w:r>
      <w:proofErr w:type="spellEnd"/>
      <w:r>
        <w:rPr>
          <w:lang w:val="it-IT"/>
        </w:rPr>
        <w:t>. 228, 2, III 238 (99)</w:t>
      </w:r>
      <w:r>
        <w:rPr>
          <w:i/>
          <w:lang w:val="it-IT"/>
        </w:rPr>
        <w:t xml:space="preserve">. </w:t>
      </w:r>
    </w:p>
  </w:footnote>
  <w:footnote w:id="23">
    <w:p w14:paraId="337C22FB" w14:textId="77777777" w:rsidR="003C4A8A" w:rsidRDefault="003C4A8A" w:rsidP="003C4A8A">
      <w:pPr>
        <w:pStyle w:val="Funotentext"/>
        <w:rPr>
          <w:lang w:val="en-GB"/>
        </w:rPr>
      </w:pPr>
      <w:r>
        <w:rPr>
          <w:rStyle w:val="Funotenzeichen"/>
        </w:rPr>
        <w:footnoteRef/>
      </w:r>
      <w:r>
        <w:rPr>
          <w:lang w:val="en-GB"/>
        </w:rPr>
        <w:t xml:space="preserve"> Hildegard, Liber vitae </w:t>
      </w:r>
      <w:proofErr w:type="spellStart"/>
      <w:r>
        <w:rPr>
          <w:lang w:val="en-GB"/>
        </w:rPr>
        <w:t>meritorum</w:t>
      </w:r>
      <w:proofErr w:type="spellEnd"/>
      <w:r>
        <w:rPr>
          <w:lang w:val="en-GB"/>
        </w:rPr>
        <w:t xml:space="preserve"> 6 XVIII, 271. </w:t>
      </w:r>
    </w:p>
  </w:footnote>
  <w:footnote w:id="24">
    <w:p w14:paraId="3C56B440" w14:textId="77777777" w:rsidR="003C4A8A" w:rsidRDefault="003C4A8A" w:rsidP="003C4A8A">
      <w:pPr>
        <w:pStyle w:val="Funotentext"/>
      </w:pPr>
      <w:r>
        <w:rPr>
          <w:rStyle w:val="Funotenzeichen"/>
        </w:rPr>
        <w:footnoteRef/>
      </w:r>
      <w:r>
        <w:rPr>
          <w:lang w:val="en-GB"/>
        </w:rPr>
        <w:t xml:space="preserve"> </w:t>
      </w:r>
      <w:proofErr w:type="spellStart"/>
      <w:r>
        <w:rPr>
          <w:lang w:val="en-GB"/>
        </w:rPr>
        <w:t>Prudentius</w:t>
      </w:r>
      <w:proofErr w:type="spellEnd"/>
      <w:r>
        <w:rPr>
          <w:lang w:val="en-GB"/>
        </w:rPr>
        <w:t xml:space="preserve"> (348 – ca. 405), Liber </w:t>
      </w:r>
      <w:proofErr w:type="spellStart"/>
      <w:r>
        <w:rPr>
          <w:lang w:val="en-GB"/>
        </w:rPr>
        <w:t>Peristefanon</w:t>
      </w:r>
      <w:proofErr w:type="spellEnd"/>
      <w:r>
        <w:rPr>
          <w:lang w:val="en-GB"/>
        </w:rPr>
        <w:t xml:space="preserve"> </w:t>
      </w:r>
      <w:proofErr w:type="spellStart"/>
      <w:r>
        <w:rPr>
          <w:lang w:val="en-GB"/>
        </w:rPr>
        <w:t>carm</w:t>
      </w:r>
      <w:proofErr w:type="spellEnd"/>
      <w:r>
        <w:rPr>
          <w:lang w:val="en-GB"/>
        </w:rPr>
        <w:t xml:space="preserve">. </w:t>
      </w:r>
      <w:r w:rsidRPr="00EB14C2">
        <w:rPr>
          <w:lang w:val="en-GB"/>
        </w:rPr>
        <w:t>2, v</w:t>
      </w:r>
      <w:r>
        <w:rPr>
          <w:lang w:val="en-GB"/>
        </w:rPr>
        <w:t>v.</w:t>
      </w:r>
      <w:r w:rsidRPr="00EB14C2">
        <w:rPr>
          <w:lang w:val="en-GB"/>
        </w:rPr>
        <w:t xml:space="preserve"> 397</w:t>
      </w:r>
      <w:r>
        <w:rPr>
          <w:lang w:val="en-GB"/>
        </w:rPr>
        <w:t>–404</w:t>
      </w:r>
      <w:r w:rsidRPr="00EB14C2">
        <w:rPr>
          <w:lang w:val="en-GB"/>
        </w:rPr>
        <w:t xml:space="preserve">, </w:t>
      </w:r>
      <w:r>
        <w:rPr>
          <w:lang w:val="en-GB"/>
        </w:rPr>
        <w:t xml:space="preserve">271 </w:t>
      </w:r>
      <w:proofErr w:type="spellStart"/>
      <w:r>
        <w:rPr>
          <w:lang w:val="en-GB"/>
        </w:rPr>
        <w:t>nach</w:t>
      </w:r>
      <w:proofErr w:type="spellEnd"/>
      <w:r>
        <w:rPr>
          <w:lang w:val="en-GB"/>
        </w:rPr>
        <w:t xml:space="preserve"> Ambrosius, De </w:t>
      </w:r>
      <w:proofErr w:type="spellStart"/>
      <w:r>
        <w:rPr>
          <w:lang w:val="en-GB"/>
        </w:rPr>
        <w:t>officiis</w:t>
      </w:r>
      <w:proofErr w:type="spellEnd"/>
      <w:r>
        <w:rPr>
          <w:lang w:val="en-GB"/>
        </w:rPr>
        <w:t xml:space="preserve"> I XLI 207, 77 (</w:t>
      </w:r>
      <w:proofErr w:type="spellStart"/>
      <w:r w:rsidRPr="00741333">
        <w:rPr>
          <w:i/>
          <w:lang w:val="en-GB"/>
        </w:rPr>
        <w:t>assum</w:t>
      </w:r>
      <w:proofErr w:type="spellEnd"/>
      <w:r w:rsidRPr="00741333">
        <w:rPr>
          <w:i/>
          <w:lang w:val="en-GB"/>
        </w:rPr>
        <w:t xml:space="preserve"> </w:t>
      </w:r>
      <w:proofErr w:type="spellStart"/>
      <w:r w:rsidRPr="00741333">
        <w:rPr>
          <w:i/>
          <w:lang w:val="en-GB"/>
        </w:rPr>
        <w:t>est</w:t>
      </w:r>
      <w:proofErr w:type="spellEnd"/>
      <w:r w:rsidRPr="00741333">
        <w:rPr>
          <w:i/>
          <w:lang w:val="en-GB"/>
        </w:rPr>
        <w:t xml:space="preserve">, versa et </w:t>
      </w:r>
      <w:proofErr w:type="spellStart"/>
      <w:r w:rsidRPr="00741333">
        <w:rPr>
          <w:i/>
          <w:lang w:val="en-GB"/>
        </w:rPr>
        <w:t>manduca</w:t>
      </w:r>
      <w:proofErr w:type="spellEnd"/>
      <w:r>
        <w:rPr>
          <w:lang w:val="en-GB"/>
        </w:rPr>
        <w:t xml:space="preserve">): </w:t>
      </w:r>
      <w:proofErr w:type="spellStart"/>
      <w:r w:rsidRPr="00741333">
        <w:rPr>
          <w:i/>
          <w:lang w:val="en-GB"/>
        </w:rPr>
        <w:t>Postquam</w:t>
      </w:r>
      <w:proofErr w:type="spellEnd"/>
      <w:r w:rsidRPr="00741333">
        <w:rPr>
          <w:i/>
          <w:lang w:val="en-GB"/>
        </w:rPr>
        <w:t xml:space="preserve"> vapor </w:t>
      </w:r>
      <w:proofErr w:type="spellStart"/>
      <w:r w:rsidRPr="00741333">
        <w:rPr>
          <w:i/>
          <w:lang w:val="en-GB"/>
        </w:rPr>
        <w:t>diutinus</w:t>
      </w:r>
      <w:proofErr w:type="spellEnd"/>
      <w:r w:rsidRPr="00741333">
        <w:rPr>
          <w:i/>
          <w:lang w:val="en-GB"/>
        </w:rPr>
        <w:t xml:space="preserve"> / </w:t>
      </w:r>
      <w:proofErr w:type="spellStart"/>
      <w:r w:rsidRPr="00741333">
        <w:rPr>
          <w:i/>
          <w:lang w:val="en-GB"/>
        </w:rPr>
        <w:t>decoxit</w:t>
      </w:r>
      <w:proofErr w:type="spellEnd"/>
      <w:r w:rsidRPr="00741333">
        <w:rPr>
          <w:i/>
          <w:lang w:val="en-GB"/>
        </w:rPr>
        <w:t xml:space="preserve"> </w:t>
      </w:r>
      <w:proofErr w:type="spellStart"/>
      <w:r w:rsidRPr="00741333">
        <w:rPr>
          <w:i/>
          <w:lang w:val="en-GB"/>
        </w:rPr>
        <w:t>exustum</w:t>
      </w:r>
      <w:proofErr w:type="spellEnd"/>
      <w:r w:rsidRPr="00741333">
        <w:rPr>
          <w:i/>
          <w:lang w:val="en-GB"/>
        </w:rPr>
        <w:t xml:space="preserve"> latus, / </w:t>
      </w:r>
      <w:proofErr w:type="spellStart"/>
      <w:r w:rsidRPr="00741333">
        <w:rPr>
          <w:i/>
          <w:lang w:val="en-GB"/>
        </w:rPr>
        <w:t>ultro</w:t>
      </w:r>
      <w:proofErr w:type="spellEnd"/>
      <w:r w:rsidRPr="00741333">
        <w:rPr>
          <w:i/>
          <w:lang w:val="en-GB"/>
        </w:rPr>
        <w:t xml:space="preserve"> e </w:t>
      </w:r>
      <w:proofErr w:type="spellStart"/>
      <w:r w:rsidRPr="00741333">
        <w:rPr>
          <w:i/>
          <w:lang w:val="en-GB"/>
        </w:rPr>
        <w:t>catasta</w:t>
      </w:r>
      <w:proofErr w:type="spellEnd"/>
      <w:r w:rsidRPr="00741333">
        <w:rPr>
          <w:i/>
          <w:lang w:val="en-GB"/>
        </w:rPr>
        <w:t xml:space="preserve"> </w:t>
      </w:r>
      <w:proofErr w:type="spellStart"/>
      <w:r w:rsidRPr="00741333">
        <w:rPr>
          <w:i/>
          <w:lang w:val="en-GB"/>
        </w:rPr>
        <w:t>iudicem</w:t>
      </w:r>
      <w:proofErr w:type="spellEnd"/>
      <w:r w:rsidRPr="00741333">
        <w:rPr>
          <w:i/>
          <w:lang w:val="en-GB"/>
        </w:rPr>
        <w:t xml:space="preserve"> / </w:t>
      </w:r>
      <w:proofErr w:type="spellStart"/>
      <w:r w:rsidRPr="00741333">
        <w:rPr>
          <w:i/>
          <w:lang w:val="en-GB"/>
        </w:rPr>
        <w:t>conpellat</w:t>
      </w:r>
      <w:proofErr w:type="spellEnd"/>
      <w:r w:rsidRPr="00741333">
        <w:rPr>
          <w:i/>
          <w:lang w:val="en-GB"/>
        </w:rPr>
        <w:t xml:space="preserve"> </w:t>
      </w:r>
      <w:proofErr w:type="spellStart"/>
      <w:r w:rsidRPr="00741333">
        <w:rPr>
          <w:i/>
          <w:lang w:val="en-GB"/>
        </w:rPr>
        <w:t>adfatu</w:t>
      </w:r>
      <w:proofErr w:type="spellEnd"/>
      <w:r w:rsidRPr="00741333">
        <w:rPr>
          <w:i/>
          <w:lang w:val="en-GB"/>
        </w:rPr>
        <w:t xml:space="preserve"> </w:t>
      </w:r>
      <w:proofErr w:type="spellStart"/>
      <w:r w:rsidRPr="00741333">
        <w:rPr>
          <w:i/>
          <w:lang w:val="en-GB"/>
        </w:rPr>
        <w:t>brevi</w:t>
      </w:r>
      <w:proofErr w:type="spellEnd"/>
      <w:r w:rsidRPr="00741333">
        <w:rPr>
          <w:i/>
          <w:lang w:val="en-GB"/>
        </w:rPr>
        <w:t>: / „</w:t>
      </w:r>
      <w:proofErr w:type="spellStart"/>
      <w:r w:rsidRPr="00741333">
        <w:rPr>
          <w:i/>
          <w:lang w:val="en-GB"/>
        </w:rPr>
        <w:t>Converte</w:t>
      </w:r>
      <w:proofErr w:type="spellEnd"/>
      <w:r w:rsidRPr="00741333">
        <w:rPr>
          <w:i/>
          <w:lang w:val="en-GB"/>
        </w:rPr>
        <w:t xml:space="preserve"> partem corporis / </w:t>
      </w:r>
      <w:proofErr w:type="spellStart"/>
      <w:r w:rsidRPr="00741333">
        <w:rPr>
          <w:i/>
          <w:lang w:val="en-GB"/>
        </w:rPr>
        <w:t>satis</w:t>
      </w:r>
      <w:proofErr w:type="spellEnd"/>
      <w:r w:rsidRPr="00741333">
        <w:rPr>
          <w:i/>
          <w:lang w:val="en-GB"/>
        </w:rPr>
        <w:t xml:space="preserve"> </w:t>
      </w:r>
      <w:proofErr w:type="spellStart"/>
      <w:r w:rsidRPr="00741333">
        <w:rPr>
          <w:i/>
          <w:lang w:val="en-GB"/>
        </w:rPr>
        <w:t>crematam</w:t>
      </w:r>
      <w:proofErr w:type="spellEnd"/>
      <w:r w:rsidRPr="00741333">
        <w:rPr>
          <w:i/>
          <w:lang w:val="en-GB"/>
        </w:rPr>
        <w:t xml:space="preserve"> </w:t>
      </w:r>
      <w:proofErr w:type="spellStart"/>
      <w:r w:rsidRPr="00741333">
        <w:rPr>
          <w:i/>
          <w:lang w:val="en-GB"/>
        </w:rPr>
        <w:t>iugiter</w:t>
      </w:r>
      <w:proofErr w:type="spellEnd"/>
      <w:r w:rsidRPr="00741333">
        <w:rPr>
          <w:i/>
          <w:lang w:val="en-GB"/>
        </w:rPr>
        <w:t xml:space="preserve"> / et </w:t>
      </w:r>
      <w:proofErr w:type="spellStart"/>
      <w:r w:rsidRPr="00741333">
        <w:rPr>
          <w:i/>
          <w:lang w:val="en-GB"/>
        </w:rPr>
        <w:t>fac</w:t>
      </w:r>
      <w:proofErr w:type="spellEnd"/>
      <w:r w:rsidRPr="00741333">
        <w:rPr>
          <w:i/>
          <w:lang w:val="en-GB"/>
        </w:rPr>
        <w:t xml:space="preserve"> </w:t>
      </w:r>
      <w:proofErr w:type="spellStart"/>
      <w:r w:rsidRPr="00741333">
        <w:rPr>
          <w:i/>
          <w:lang w:val="en-GB"/>
        </w:rPr>
        <w:t>periclum</w:t>
      </w:r>
      <w:proofErr w:type="spellEnd"/>
      <w:r w:rsidRPr="00741333">
        <w:rPr>
          <w:i/>
          <w:lang w:val="en-GB"/>
        </w:rPr>
        <w:t xml:space="preserve"> quid </w:t>
      </w:r>
      <w:proofErr w:type="spellStart"/>
      <w:r w:rsidRPr="00741333">
        <w:rPr>
          <w:i/>
          <w:lang w:val="en-GB"/>
        </w:rPr>
        <w:t>tuus</w:t>
      </w:r>
      <w:proofErr w:type="spellEnd"/>
      <w:r w:rsidRPr="00741333">
        <w:rPr>
          <w:i/>
          <w:lang w:val="en-GB"/>
        </w:rPr>
        <w:t xml:space="preserve"> / </w:t>
      </w:r>
      <w:proofErr w:type="spellStart"/>
      <w:r w:rsidRPr="00741333">
        <w:rPr>
          <w:i/>
          <w:lang w:val="en-GB"/>
        </w:rPr>
        <w:t>Vulcanus</w:t>
      </w:r>
      <w:proofErr w:type="spellEnd"/>
      <w:r w:rsidRPr="00741333">
        <w:rPr>
          <w:i/>
          <w:lang w:val="en-GB"/>
        </w:rPr>
        <w:t xml:space="preserve"> </w:t>
      </w:r>
      <w:proofErr w:type="spellStart"/>
      <w:r w:rsidRPr="00741333">
        <w:rPr>
          <w:i/>
          <w:lang w:val="en-GB"/>
        </w:rPr>
        <w:t>ardens</w:t>
      </w:r>
      <w:proofErr w:type="spellEnd"/>
      <w:r w:rsidRPr="00741333">
        <w:rPr>
          <w:i/>
          <w:lang w:val="en-GB"/>
        </w:rPr>
        <w:t xml:space="preserve"> </w:t>
      </w:r>
      <w:proofErr w:type="spellStart"/>
      <w:proofErr w:type="gramStart"/>
      <w:r w:rsidRPr="00741333">
        <w:rPr>
          <w:i/>
          <w:lang w:val="en-GB"/>
        </w:rPr>
        <w:t>egerit</w:t>
      </w:r>
      <w:proofErr w:type="spellEnd"/>
      <w:r w:rsidRPr="00741333">
        <w:rPr>
          <w:i/>
          <w:lang w:val="en-GB"/>
        </w:rPr>
        <w:t>“</w:t>
      </w:r>
      <w:proofErr w:type="gramEnd"/>
      <w:r w:rsidRPr="00851AC3">
        <w:rPr>
          <w:lang w:val="en-GB"/>
        </w:rPr>
        <w:t>.</w:t>
      </w:r>
      <w:r>
        <w:rPr>
          <w:lang w:val="en-GB"/>
        </w:rPr>
        <w:t xml:space="preserve"> </w:t>
      </w:r>
      <w:r w:rsidRPr="001E43FC">
        <w:rPr>
          <w:smallCaps/>
        </w:rPr>
        <w:t>Curtius</w:t>
      </w:r>
      <w:r>
        <w:t xml:space="preserve">, Literatur 427f. </w:t>
      </w:r>
    </w:p>
  </w:footnote>
  <w:footnote w:id="25">
    <w:p w14:paraId="654DD683" w14:textId="77777777" w:rsidR="003C4A8A" w:rsidRPr="003C4A8A" w:rsidRDefault="003C4A8A" w:rsidP="003C4A8A">
      <w:pPr>
        <w:pStyle w:val="Funotentext"/>
        <w:rPr>
          <w:lang w:val="en-US"/>
        </w:rPr>
      </w:pPr>
      <w:r>
        <w:rPr>
          <w:rStyle w:val="Funotenzeichen"/>
        </w:rPr>
        <w:footnoteRef/>
      </w:r>
      <w:r>
        <w:t xml:space="preserve"> Zu ihr vgl. auch das </w:t>
      </w:r>
      <w:proofErr w:type="spellStart"/>
      <w:r>
        <w:t>afrz</w:t>
      </w:r>
      <w:proofErr w:type="spellEnd"/>
      <w:r>
        <w:t xml:space="preserve">. Gedicht aus dem 9. </w:t>
      </w:r>
      <w:proofErr w:type="spellStart"/>
      <w:r w:rsidRPr="003C4A8A">
        <w:rPr>
          <w:lang w:val="en-US"/>
        </w:rPr>
        <w:t>Jh</w:t>
      </w:r>
      <w:proofErr w:type="spellEnd"/>
      <w:r w:rsidRPr="003C4A8A">
        <w:rPr>
          <w:lang w:val="en-US"/>
        </w:rPr>
        <w:t xml:space="preserve">. </w:t>
      </w:r>
      <w:proofErr w:type="spellStart"/>
      <w:r w:rsidRPr="003C4A8A">
        <w:rPr>
          <w:i/>
          <w:lang w:val="en-US"/>
        </w:rPr>
        <w:t>Buona</w:t>
      </w:r>
      <w:proofErr w:type="spellEnd"/>
      <w:r w:rsidRPr="003C4A8A">
        <w:rPr>
          <w:i/>
          <w:lang w:val="en-US"/>
        </w:rPr>
        <w:t xml:space="preserve"> </w:t>
      </w:r>
      <w:proofErr w:type="spellStart"/>
      <w:r w:rsidRPr="003C4A8A">
        <w:rPr>
          <w:i/>
          <w:lang w:val="en-US"/>
        </w:rPr>
        <w:t>pulcella</w:t>
      </w:r>
      <w:proofErr w:type="spellEnd"/>
      <w:r w:rsidRPr="003C4A8A">
        <w:rPr>
          <w:i/>
          <w:lang w:val="en-US"/>
        </w:rPr>
        <w:t xml:space="preserve"> </w:t>
      </w:r>
      <w:proofErr w:type="spellStart"/>
      <w:r w:rsidRPr="003C4A8A">
        <w:rPr>
          <w:i/>
          <w:lang w:val="en-US"/>
        </w:rPr>
        <w:t>fut</w:t>
      </w:r>
      <w:proofErr w:type="spellEnd"/>
      <w:r w:rsidRPr="003C4A8A">
        <w:rPr>
          <w:i/>
          <w:lang w:val="en-US"/>
        </w:rPr>
        <w:t xml:space="preserve"> Eulalia. / Bel </w:t>
      </w:r>
      <w:proofErr w:type="spellStart"/>
      <w:r w:rsidRPr="003C4A8A">
        <w:rPr>
          <w:i/>
          <w:lang w:val="en-US"/>
        </w:rPr>
        <w:t>avret</w:t>
      </w:r>
      <w:proofErr w:type="spellEnd"/>
      <w:r w:rsidRPr="003C4A8A">
        <w:rPr>
          <w:i/>
          <w:lang w:val="en-US"/>
        </w:rPr>
        <w:t xml:space="preserve"> corps, </w:t>
      </w:r>
      <w:proofErr w:type="spellStart"/>
      <w:r w:rsidRPr="003C4A8A">
        <w:rPr>
          <w:i/>
          <w:lang w:val="en-US"/>
        </w:rPr>
        <w:t>bellezour</w:t>
      </w:r>
      <w:proofErr w:type="spellEnd"/>
      <w:r w:rsidRPr="003C4A8A">
        <w:rPr>
          <w:i/>
          <w:lang w:val="en-US"/>
        </w:rPr>
        <w:t xml:space="preserve"> anima</w:t>
      </w:r>
      <w:r w:rsidRPr="003C4A8A">
        <w:rPr>
          <w:lang w:val="en-US"/>
        </w:rPr>
        <w:t xml:space="preserve">. Text und </w:t>
      </w:r>
      <w:proofErr w:type="spellStart"/>
      <w:r w:rsidRPr="003C4A8A">
        <w:rPr>
          <w:lang w:val="en-US"/>
        </w:rPr>
        <w:t>Literatur</w:t>
      </w:r>
      <w:proofErr w:type="spellEnd"/>
      <w:r w:rsidRPr="003C4A8A">
        <w:rPr>
          <w:lang w:val="en-US"/>
        </w:rPr>
        <w:t xml:space="preserve"> </w:t>
      </w:r>
      <w:hyperlink r:id="rId1" w:history="1">
        <w:r w:rsidRPr="003C4A8A">
          <w:rPr>
            <w:rStyle w:val="Hyperlink"/>
            <w:lang w:val="en-US"/>
          </w:rPr>
          <w:t>http://en.wikipedia.org/wiki/Sequence_of_Saint_Eulalia</w:t>
        </w:r>
      </w:hyperlink>
      <w:r w:rsidRPr="003C4A8A">
        <w:rPr>
          <w:lang w:val="en-US"/>
        </w:rPr>
        <w:t xml:space="preserve">; </w:t>
      </w:r>
      <w:proofErr w:type="spellStart"/>
      <w:r w:rsidRPr="003C4A8A">
        <w:rPr>
          <w:lang w:val="en-US"/>
        </w:rPr>
        <w:t>vgl</w:t>
      </w:r>
      <w:proofErr w:type="spellEnd"/>
      <w:r w:rsidRPr="003C4A8A">
        <w:rPr>
          <w:lang w:val="en-US"/>
        </w:rPr>
        <w:t xml:space="preserve">. WALTER, Naissances </w:t>
      </w:r>
      <w:r>
        <w:sym w:font="Zapf Dingbats" w:char="F07A"/>
      </w:r>
      <w:r>
        <w:sym w:font="Zapf Dingbats" w:char="F07A"/>
      </w:r>
      <w:r w:rsidRPr="003C4A8A">
        <w:rPr>
          <w:lang w:val="en-US"/>
        </w:rPr>
        <w:t xml:space="preserve">; La </w:t>
      </w:r>
      <w:proofErr w:type="spellStart"/>
      <w:r w:rsidRPr="003C4A8A">
        <w:rPr>
          <w:lang w:val="en-US"/>
        </w:rPr>
        <w:t>Cantiène</w:t>
      </w:r>
      <w:proofErr w:type="spellEnd"/>
      <w:r w:rsidRPr="003C4A8A">
        <w:rPr>
          <w:lang w:val="en-US"/>
        </w:rPr>
        <w:t xml:space="preserve"> de </w:t>
      </w:r>
      <w:proofErr w:type="spellStart"/>
      <w:r w:rsidRPr="003C4A8A">
        <w:rPr>
          <w:lang w:val="en-US"/>
        </w:rPr>
        <w:t>sainte</w:t>
      </w:r>
      <w:proofErr w:type="spellEnd"/>
      <w:r w:rsidRPr="003C4A8A">
        <w:rPr>
          <w:lang w:val="en-US"/>
        </w:rPr>
        <w:t xml:space="preserve"> Eulalie. </w:t>
      </w:r>
    </w:p>
  </w:footnote>
  <w:footnote w:id="26">
    <w:p w14:paraId="762B4291" w14:textId="77777777" w:rsidR="003C4A8A" w:rsidRDefault="003C4A8A" w:rsidP="003C4A8A">
      <w:pPr>
        <w:pStyle w:val="Funotentext"/>
      </w:pPr>
      <w:r>
        <w:rPr>
          <w:rStyle w:val="Funotenzeichen"/>
        </w:rPr>
        <w:footnoteRef/>
      </w:r>
      <w:r>
        <w:t xml:space="preserve"> </w:t>
      </w:r>
      <w:r w:rsidRPr="00B5169C">
        <w:rPr>
          <w:smallCaps/>
        </w:rPr>
        <w:t>Curtius</w:t>
      </w:r>
      <w:r>
        <w:t xml:space="preserve">, Literatur 432–435. </w:t>
      </w:r>
    </w:p>
  </w:footnote>
  <w:footnote w:id="27">
    <w:p w14:paraId="74A5B2DA" w14:textId="77777777" w:rsidR="003C4A8A" w:rsidRDefault="003C4A8A" w:rsidP="003C4A8A">
      <w:pPr>
        <w:pStyle w:val="Funotentext"/>
      </w:pPr>
      <w:r>
        <w:rPr>
          <w:rStyle w:val="Funotenzeichen"/>
        </w:rPr>
        <w:footnoteRef/>
      </w:r>
      <w:r>
        <w:t xml:space="preserve"> </w:t>
      </w:r>
      <w:r w:rsidRPr="00B5169C">
        <w:rPr>
          <w:smallCaps/>
        </w:rPr>
        <w:t>Curtius</w:t>
      </w:r>
      <w:r>
        <w:t xml:space="preserve">, Literatur 435. </w:t>
      </w:r>
    </w:p>
  </w:footnote>
  <w:footnote w:id="28">
    <w:p w14:paraId="13CB50E8" w14:textId="77777777" w:rsidR="003C4A8A" w:rsidRDefault="003C4A8A" w:rsidP="003C4A8A">
      <w:pPr>
        <w:pStyle w:val="Funotentext"/>
      </w:pPr>
      <w:r>
        <w:rPr>
          <w:rStyle w:val="Funotenzeichen"/>
        </w:rPr>
        <w:footnoteRef/>
      </w:r>
      <w:r>
        <w:t xml:space="preserve"> </w:t>
      </w:r>
      <w:proofErr w:type="spellStart"/>
      <w:r>
        <w:t>Guibert</w:t>
      </w:r>
      <w:proofErr w:type="spellEnd"/>
      <w:r>
        <w:t xml:space="preserve">, Autobiographie III 19, 458. </w:t>
      </w:r>
    </w:p>
  </w:footnote>
  <w:footnote w:id="29">
    <w:p w14:paraId="79EB838F" w14:textId="77777777" w:rsidR="003C4A8A" w:rsidRDefault="003C4A8A" w:rsidP="003C4A8A">
      <w:pPr>
        <w:pStyle w:val="Funotentext"/>
      </w:pPr>
      <w:r>
        <w:rPr>
          <w:rStyle w:val="Funotenzeichen"/>
        </w:rPr>
        <w:footnoteRef/>
      </w:r>
      <w:r>
        <w:t xml:space="preserve"> </w:t>
      </w:r>
      <w:proofErr w:type="spellStart"/>
      <w:r>
        <w:t>Guibert</w:t>
      </w:r>
      <w:proofErr w:type="spellEnd"/>
      <w:r>
        <w:t xml:space="preserve">, Autobiographie III 20, 460. </w:t>
      </w:r>
    </w:p>
  </w:footnote>
  <w:footnote w:id="30">
    <w:p w14:paraId="5B22F664" w14:textId="77777777" w:rsidR="003C4A8A" w:rsidRDefault="003C4A8A" w:rsidP="003C4A8A">
      <w:pPr>
        <w:pStyle w:val="Funotentext"/>
      </w:pPr>
      <w:r>
        <w:rPr>
          <w:rStyle w:val="Funotenzeichen"/>
        </w:rPr>
        <w:footnoteRef/>
      </w:r>
      <w:r>
        <w:t xml:space="preserve"> </w:t>
      </w:r>
      <w:proofErr w:type="spellStart"/>
      <w:r>
        <w:t>Guibert</w:t>
      </w:r>
      <w:proofErr w:type="spellEnd"/>
      <w:r>
        <w:t xml:space="preserve">, Autobiographie III 20, 462f.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A"/>
    <w:rsid w:val="00022BA7"/>
    <w:rsid w:val="000E293D"/>
    <w:rsid w:val="00115D7E"/>
    <w:rsid w:val="00115F80"/>
    <w:rsid w:val="00177C1B"/>
    <w:rsid w:val="002670A6"/>
    <w:rsid w:val="00286D1A"/>
    <w:rsid w:val="002B0B7A"/>
    <w:rsid w:val="002F3E9A"/>
    <w:rsid w:val="003A363D"/>
    <w:rsid w:val="003B547B"/>
    <w:rsid w:val="003B6BDD"/>
    <w:rsid w:val="003C4231"/>
    <w:rsid w:val="003C4A8A"/>
    <w:rsid w:val="003F729F"/>
    <w:rsid w:val="004B638C"/>
    <w:rsid w:val="00522FB9"/>
    <w:rsid w:val="0079076A"/>
    <w:rsid w:val="008729CB"/>
    <w:rsid w:val="0089681D"/>
    <w:rsid w:val="008B11D3"/>
    <w:rsid w:val="008E552A"/>
    <w:rsid w:val="00904B48"/>
    <w:rsid w:val="00984CEF"/>
    <w:rsid w:val="00992BE2"/>
    <w:rsid w:val="009B7072"/>
    <w:rsid w:val="00A27297"/>
    <w:rsid w:val="00A44EF9"/>
    <w:rsid w:val="00AC04DB"/>
    <w:rsid w:val="00B55D3D"/>
    <w:rsid w:val="00BD4959"/>
    <w:rsid w:val="00C33D2F"/>
    <w:rsid w:val="00D630A9"/>
    <w:rsid w:val="00D94A99"/>
    <w:rsid w:val="00DA6A55"/>
    <w:rsid w:val="00E00CC4"/>
    <w:rsid w:val="00E13C8F"/>
    <w:rsid w:val="00EA0FF7"/>
    <w:rsid w:val="00EE6F11"/>
    <w:rsid w:val="00F00C6E"/>
    <w:rsid w:val="00F03EC7"/>
    <w:rsid w:val="00F07855"/>
    <w:rsid w:val="00F33A51"/>
    <w:rsid w:val="00FA2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185E"/>
  <w15:chartTrackingRefBased/>
  <w15:docId w15:val="{28650E8B-269D-7D48-B974-65269EA8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autoRedefine/>
    <w:qFormat/>
    <w:rsid w:val="003C4A8A"/>
    <w:pPr>
      <w:spacing w:after="120" w:line="360" w:lineRule="auto"/>
      <w:ind w:firstLine="709"/>
      <w:jc w:val="both"/>
    </w:pPr>
    <w:rPr>
      <w:rFonts w:ascii="Times New Roman" w:eastAsia="Cambria" w:hAnsi="Times New Roman" w:cs="Times New Roman"/>
      <w:lang w:eastAsia="de-DE"/>
    </w:rPr>
  </w:style>
  <w:style w:type="paragraph" w:styleId="berschrift1">
    <w:name w:val="heading 1"/>
    <w:basedOn w:val="Standard"/>
    <w:next w:val="Standard"/>
    <w:link w:val="berschrift1Zchn"/>
    <w:autoRedefine/>
    <w:uiPriority w:val="9"/>
    <w:qFormat/>
    <w:rsid w:val="00F03EC7"/>
    <w:pPr>
      <w:keepNext/>
      <w:keepLines/>
      <w:spacing w:before="240" w:after="0"/>
      <w:jc w:val="left"/>
      <w:outlineLvl w:val="0"/>
    </w:pPr>
    <w:rPr>
      <w:rFonts w:ascii="Arial" w:eastAsiaTheme="majorEastAsia" w:hAnsi="Arial" w:cstheme="majorBidi"/>
      <w:b/>
      <w:smallCaps/>
      <w:color w:val="000000" w:themeColor="text1"/>
      <w:sz w:val="32"/>
      <w:szCs w:val="32"/>
      <w:lang w:val="de-AT" w:eastAsia="en-US"/>
    </w:rPr>
  </w:style>
  <w:style w:type="paragraph" w:styleId="berschrift3">
    <w:name w:val="heading 3"/>
    <w:basedOn w:val="Standard"/>
    <w:next w:val="Standard"/>
    <w:link w:val="berschrift3Zchn"/>
    <w:autoRedefine/>
    <w:uiPriority w:val="9"/>
    <w:unhideWhenUsed/>
    <w:qFormat/>
    <w:rsid w:val="00F03EC7"/>
    <w:pPr>
      <w:keepNext/>
      <w:spacing w:before="240" w:after="60"/>
      <w:ind w:firstLine="0"/>
      <w:jc w:val="left"/>
      <w:outlineLvl w:val="2"/>
    </w:pPr>
    <w:rPr>
      <w:rFonts w:ascii="Calibri Light" w:eastAsia="Times New Roman" w:hAnsi="Calibri Light" w:cstheme="minorBidi"/>
      <w:b/>
      <w:bCs/>
      <w:sz w:val="26"/>
      <w:szCs w:val="26"/>
      <w:lang w:val="de-AT" w:eastAsia="en-US"/>
    </w:rPr>
  </w:style>
  <w:style w:type="paragraph" w:styleId="berschrift5">
    <w:name w:val="heading 5"/>
    <w:basedOn w:val="Standard"/>
    <w:next w:val="Standard"/>
    <w:link w:val="berschrift5Zchn"/>
    <w:autoRedefine/>
    <w:uiPriority w:val="9"/>
    <w:unhideWhenUsed/>
    <w:qFormat/>
    <w:rsid w:val="00F03EC7"/>
    <w:pPr>
      <w:keepNext/>
      <w:keepLines/>
      <w:spacing w:before="40" w:after="60"/>
      <w:ind w:firstLine="0"/>
      <w:jc w:val="left"/>
      <w:outlineLvl w:val="4"/>
    </w:pPr>
    <w:rPr>
      <w:rFonts w:ascii="Arial" w:eastAsia="Times New Roman" w:hAnsi="Arial" w:cstheme="minorBidi"/>
      <w:i/>
      <w:color w:val="000000"/>
      <w:lang w:val="de-AT" w:eastAsia="en-US"/>
    </w:rPr>
  </w:style>
  <w:style w:type="paragraph" w:styleId="berschrift6">
    <w:name w:val="heading 6"/>
    <w:basedOn w:val="Standard"/>
    <w:next w:val="Standard"/>
    <w:link w:val="berschrift6Zchn"/>
    <w:autoRedefine/>
    <w:qFormat/>
    <w:rsid w:val="003C4A8A"/>
    <w:pPr>
      <w:spacing w:before="120"/>
      <w:outlineLvl w:val="5"/>
    </w:pPr>
    <w:rPr>
      <w:rFonts w:eastAsia="Times New Roman"/>
      <w:b/>
      <w:i/>
      <w:spacing w:val="40"/>
    </w:rPr>
  </w:style>
  <w:style w:type="paragraph" w:styleId="berschrift8">
    <w:name w:val="heading 8"/>
    <w:basedOn w:val="Standard"/>
    <w:next w:val="Standard"/>
    <w:link w:val="berschrift8Zchn1"/>
    <w:autoRedefine/>
    <w:qFormat/>
    <w:rsid w:val="00F03EC7"/>
    <w:pPr>
      <w:pBdr>
        <w:top w:val="nil"/>
        <w:left w:val="nil"/>
        <w:bottom w:val="nil"/>
        <w:right w:val="nil"/>
        <w:between w:val="nil"/>
        <w:bar w:val="nil"/>
      </w:pBdr>
      <w:spacing w:before="240"/>
      <w:outlineLvl w:val="7"/>
    </w:pPr>
    <w:rPr>
      <w:rFonts w:ascii="Arial" w:eastAsiaTheme="minorHAnsi" w:hAnsi="Arial" w:cs="Arial Unicode MS"/>
      <w:i/>
      <w:color w:val="000000"/>
      <w:u w:color="000000"/>
      <w:bdr w:val="nil"/>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2"/>
    <w:autoRedefine/>
    <w:qFormat/>
    <w:rsid w:val="00F03EC7"/>
    <w:pPr>
      <w:pBdr>
        <w:top w:val="nil"/>
        <w:left w:val="nil"/>
        <w:bottom w:val="nil"/>
        <w:right w:val="nil"/>
        <w:between w:val="nil"/>
        <w:bar w:val="nil"/>
      </w:pBdr>
      <w:spacing w:after="60" w:line="240" w:lineRule="auto"/>
      <w:ind w:left="170" w:hanging="170"/>
    </w:pPr>
    <w:rPr>
      <w:rFonts w:eastAsiaTheme="minorHAnsi" w:cstheme="minorBidi"/>
      <w:color w:val="000000"/>
      <w:sz w:val="20"/>
      <w:u w:color="000000"/>
      <w:bdr w:val="nil"/>
      <w:lang w:eastAsia="ja-JP"/>
    </w:rPr>
  </w:style>
  <w:style w:type="character" w:customStyle="1" w:styleId="FunotentextZchn">
    <w:name w:val="Fußnotentext Zchn"/>
    <w:basedOn w:val="Absatz-Standardschriftart"/>
    <w:rsid w:val="00FA20DF"/>
    <w:rPr>
      <w:rFonts w:ascii="Times New Roman" w:hAnsi="Times New Roman"/>
    </w:rPr>
  </w:style>
  <w:style w:type="character" w:customStyle="1" w:styleId="berschrift1Zchn">
    <w:name w:val="Überschrift 1 Zchn"/>
    <w:basedOn w:val="Absatz-Standardschriftart"/>
    <w:link w:val="berschrift1"/>
    <w:uiPriority w:val="9"/>
    <w:rsid w:val="00F03EC7"/>
    <w:rPr>
      <w:rFonts w:ascii="Arial" w:eastAsiaTheme="majorEastAsia" w:hAnsi="Arial" w:cstheme="majorBidi"/>
      <w:b/>
      <w:smallCaps/>
      <w:color w:val="000000" w:themeColor="text1"/>
      <w:sz w:val="32"/>
      <w:szCs w:val="32"/>
      <w:lang w:val="de-AT"/>
    </w:rPr>
  </w:style>
  <w:style w:type="character" w:customStyle="1" w:styleId="berschrift5Zchn">
    <w:name w:val="Überschrift 5 Zchn"/>
    <w:link w:val="berschrift5"/>
    <w:uiPriority w:val="9"/>
    <w:rsid w:val="00F03EC7"/>
    <w:rPr>
      <w:rFonts w:ascii="Arial" w:eastAsia="Times New Roman" w:hAnsi="Arial"/>
      <w:i/>
      <w:color w:val="000000"/>
      <w:lang w:val="de-AT"/>
    </w:rPr>
  </w:style>
  <w:style w:type="character" w:customStyle="1" w:styleId="FunotentextZchn1">
    <w:name w:val="Fußnotentext Zchn1"/>
    <w:rsid w:val="00D94A99"/>
    <w:rPr>
      <w:rFonts w:ascii="Times New Roman" w:hAnsi="Times New Roman"/>
      <w:color w:val="000000"/>
      <w:u w:color="000000"/>
      <w:bdr w:val="nil"/>
      <w:lang w:eastAsia="ja-JP"/>
    </w:rPr>
  </w:style>
  <w:style w:type="character" w:customStyle="1" w:styleId="FunotentextZchn2">
    <w:name w:val="Fußnotentext Zchn2"/>
    <w:link w:val="Funotentext"/>
    <w:uiPriority w:val="99"/>
    <w:rsid w:val="00F03EC7"/>
    <w:rPr>
      <w:rFonts w:ascii="Times New Roman" w:hAnsi="Times New Roman"/>
      <w:color w:val="000000"/>
      <w:sz w:val="20"/>
      <w:u w:color="000000"/>
      <w:bdr w:val="nil"/>
      <w:lang w:eastAsia="ja-JP"/>
    </w:rPr>
  </w:style>
  <w:style w:type="character" w:customStyle="1" w:styleId="berschrift8Zchn">
    <w:name w:val="Überschrift 8 Zchn"/>
    <w:basedOn w:val="Absatz-Standardschriftart"/>
    <w:uiPriority w:val="9"/>
    <w:semiHidden/>
    <w:rsid w:val="0079076A"/>
    <w:rPr>
      <w:rFonts w:asciiTheme="majorHAnsi" w:eastAsiaTheme="majorEastAsia" w:hAnsiTheme="majorHAnsi" w:cstheme="majorBidi"/>
      <w:color w:val="272727" w:themeColor="text1" w:themeTint="D8"/>
      <w:sz w:val="21"/>
      <w:szCs w:val="21"/>
      <w:lang w:val="de-AT"/>
    </w:rPr>
  </w:style>
  <w:style w:type="character" w:customStyle="1" w:styleId="berschrift8Zchn1">
    <w:name w:val="Überschrift 8 Zchn1"/>
    <w:link w:val="berschrift8"/>
    <w:rsid w:val="00F03EC7"/>
    <w:rPr>
      <w:rFonts w:ascii="Arial" w:hAnsi="Arial" w:cs="Arial Unicode MS"/>
      <w:i/>
      <w:color w:val="000000"/>
      <w:u w:color="000000"/>
      <w:bdr w:val="nil"/>
      <w:lang w:val="de-AT"/>
    </w:rPr>
  </w:style>
  <w:style w:type="paragraph" w:styleId="Verzeichnis8">
    <w:name w:val="toc 8"/>
    <w:basedOn w:val="Standard"/>
    <w:next w:val="Standard"/>
    <w:autoRedefine/>
    <w:uiPriority w:val="39"/>
    <w:qFormat/>
    <w:rsid w:val="00F03EC7"/>
    <w:pPr>
      <w:pBdr>
        <w:top w:val="nil"/>
        <w:left w:val="nil"/>
        <w:bottom w:val="nil"/>
        <w:right w:val="nil"/>
        <w:between w:val="nil"/>
        <w:bar w:val="nil"/>
      </w:pBdr>
      <w:spacing w:before="60" w:after="60" w:line="240" w:lineRule="auto"/>
      <w:ind w:left="2245"/>
      <w:jc w:val="left"/>
    </w:pPr>
    <w:rPr>
      <w:rFonts w:ascii="Cambria" w:eastAsia="MS Mincho" w:hAnsi="Cambria" w:cs="Arial Unicode MS"/>
      <w:color w:val="000000"/>
      <w:sz w:val="18"/>
      <w:szCs w:val="18"/>
      <w:u w:color="000000"/>
      <w:bdr w:val="nil"/>
      <w:lang w:val="de-AT"/>
    </w:rPr>
  </w:style>
  <w:style w:type="character" w:customStyle="1" w:styleId="berschrift3Zchn">
    <w:name w:val="Überschrift 3 Zchn"/>
    <w:link w:val="berschrift3"/>
    <w:uiPriority w:val="9"/>
    <w:rsid w:val="00F03EC7"/>
    <w:rPr>
      <w:rFonts w:ascii="Calibri Light" w:eastAsia="Times New Roman" w:hAnsi="Calibri Light"/>
      <w:b/>
      <w:bCs/>
      <w:sz w:val="26"/>
      <w:szCs w:val="26"/>
      <w:lang w:val="de-AT"/>
    </w:rPr>
  </w:style>
  <w:style w:type="character" w:styleId="Hervorhebung">
    <w:name w:val="Emphasis"/>
    <w:basedOn w:val="Absatz-Standardschriftart"/>
    <w:uiPriority w:val="20"/>
    <w:qFormat/>
    <w:rsid w:val="00F03EC7"/>
    <w:rPr>
      <w:b/>
      <w:i w:val="0"/>
      <w:iCs/>
      <w:color w:val="066684" w:themeColor="accent6" w:themeShade="BF"/>
    </w:rPr>
  </w:style>
  <w:style w:type="paragraph" w:styleId="Listenabsatz">
    <w:name w:val="List Paragraph"/>
    <w:basedOn w:val="Standard"/>
    <w:uiPriority w:val="34"/>
    <w:qFormat/>
    <w:rsid w:val="00F03EC7"/>
    <w:pPr>
      <w:spacing w:after="60"/>
      <w:ind w:left="720"/>
      <w:contextualSpacing/>
    </w:pPr>
    <w:rPr>
      <w:rFonts w:eastAsiaTheme="minorHAnsi" w:cstheme="minorBidi"/>
      <w:lang w:val="de-AT" w:eastAsia="en-US"/>
    </w:rPr>
  </w:style>
  <w:style w:type="character" w:customStyle="1" w:styleId="berschrift6Zchn">
    <w:name w:val="Überschrift 6 Zchn"/>
    <w:basedOn w:val="Absatz-Standardschriftart"/>
    <w:link w:val="berschrift6"/>
    <w:rsid w:val="003C4A8A"/>
    <w:rPr>
      <w:rFonts w:ascii="Times New Roman" w:eastAsia="Times New Roman" w:hAnsi="Times New Roman" w:cs="Times New Roman"/>
      <w:b/>
      <w:i/>
      <w:spacing w:val="40"/>
      <w:lang w:eastAsia="de-DE"/>
    </w:rPr>
  </w:style>
  <w:style w:type="character" w:styleId="Hyperlink">
    <w:name w:val="Hyperlink"/>
    <w:rsid w:val="003C4A8A"/>
    <w:rPr>
      <w:color w:val="0000FF"/>
      <w:u w:val="single"/>
    </w:rPr>
  </w:style>
  <w:style w:type="character" w:styleId="Funotenzeichen">
    <w:name w:val="footnote reference"/>
    <w:rsid w:val="003C4A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Sequence_of_Saint_Eulalia" TargetMode="External"/></Relationships>
</file>

<file path=word/theme/theme1.xml><?xml version="1.0" encoding="utf-8"?>
<a:theme xmlns:a="http://schemas.openxmlformats.org/drawingml/2006/main" name="Office">
  <a:themeElements>
    <a:clrScheme name="Grü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745</Words>
  <Characters>4698</Characters>
  <Application>Microsoft Office Word</Application>
  <DocSecurity>0</DocSecurity>
  <Lines>39</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Brunner</dc:creator>
  <cp:keywords/>
  <dc:description/>
  <cp:lastModifiedBy>Karl Brunner</cp:lastModifiedBy>
  <cp:revision>2</cp:revision>
  <dcterms:created xsi:type="dcterms:W3CDTF">2021-02-08T15:10:00Z</dcterms:created>
  <dcterms:modified xsi:type="dcterms:W3CDTF">2021-02-08T15:10:00Z</dcterms:modified>
</cp:coreProperties>
</file>